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48380" w14:textId="2D05EE37" w:rsidR="00495049" w:rsidRPr="00EC33C6" w:rsidRDefault="00495049" w:rsidP="00495049">
      <w:pPr>
        <w:spacing w:after="0" w:line="240" w:lineRule="auto"/>
        <w:jc w:val="center"/>
        <w:rPr>
          <w:rFonts w:ascii="Arial" w:eastAsiaTheme="minorEastAsia" w:hAnsi="Arial" w:cs="Arial"/>
          <w:b/>
          <w:bCs/>
          <w:color w:val="2F5496" w:themeColor="accent1" w:themeShade="BF"/>
          <w:spacing w:val="15"/>
          <w:sz w:val="24"/>
          <w:szCs w:val="24"/>
          <w:lang w:val="en-US"/>
        </w:rPr>
      </w:pPr>
      <w:r w:rsidRPr="00EC33C6">
        <w:rPr>
          <w:rFonts w:ascii="Arial" w:eastAsiaTheme="minorEastAsia" w:hAnsi="Arial" w:cs="Arial"/>
          <w:b/>
          <w:bCs/>
          <w:color w:val="2F5496" w:themeColor="accent1" w:themeShade="BF"/>
          <w:spacing w:val="15"/>
          <w:sz w:val="24"/>
          <w:szCs w:val="24"/>
          <w:lang w:val="en-US"/>
        </w:rPr>
        <w:t xml:space="preserve">POST-COVID-19 AUTOIMMUNE </w:t>
      </w:r>
      <w:r w:rsidRPr="00EC33C6">
        <w:rPr>
          <w:rFonts w:ascii="Arial" w:eastAsiaTheme="minorEastAsia" w:hAnsi="Arial" w:cs="Arial"/>
          <w:b/>
          <w:bCs/>
          <w:color w:val="2F5496"/>
          <w:spacing w:val="15"/>
          <w:sz w:val="24"/>
          <w:szCs w:val="24"/>
          <w:lang w:val="en-US"/>
        </w:rPr>
        <w:t>DISEASES: CHALLENGES AND PERSPECTIVES IN TRANSLATIONAL IMMUNOLOGY</w:t>
      </w:r>
    </w:p>
    <w:p w14:paraId="70682FE7" w14:textId="77777777" w:rsidR="00495049" w:rsidRPr="00EC33C6" w:rsidRDefault="00495049" w:rsidP="00495049">
      <w:pPr>
        <w:spacing w:after="0" w:line="240" w:lineRule="auto"/>
        <w:jc w:val="center"/>
        <w:rPr>
          <w:rFonts w:ascii="Arial" w:eastAsiaTheme="minorEastAsia" w:hAnsi="Arial" w:cs="Arial"/>
          <w:b/>
          <w:bCs/>
          <w:color w:val="2F5496" w:themeColor="accent1" w:themeShade="BF"/>
          <w:spacing w:val="15"/>
          <w:sz w:val="24"/>
          <w:szCs w:val="24"/>
          <w:lang w:val="en-US"/>
        </w:rPr>
      </w:pPr>
    </w:p>
    <w:p w14:paraId="5AE99CA3" w14:textId="31325999" w:rsidR="00495049" w:rsidRPr="00495049" w:rsidRDefault="00495049" w:rsidP="00495049">
      <w:pPr>
        <w:spacing w:after="0" w:line="240" w:lineRule="auto"/>
        <w:jc w:val="center"/>
        <w:rPr>
          <w:rFonts w:ascii="Arial" w:eastAsiaTheme="minorEastAsia" w:hAnsi="Arial" w:cs="Arial"/>
          <w:b/>
          <w:bCs/>
          <w:color w:val="2F5496" w:themeColor="accent1" w:themeShade="BF"/>
          <w:spacing w:val="15"/>
          <w:sz w:val="24"/>
          <w:szCs w:val="24"/>
        </w:rPr>
      </w:pPr>
      <w:r w:rsidRPr="00495049">
        <w:rPr>
          <w:rFonts w:ascii="Arial" w:eastAsiaTheme="minorEastAsia" w:hAnsi="Arial" w:cs="Arial"/>
          <w:b/>
          <w:bCs/>
          <w:color w:val="2F5496" w:themeColor="accent1" w:themeShade="BF"/>
          <w:spacing w:val="15"/>
          <w:sz w:val="24"/>
          <w:szCs w:val="24"/>
        </w:rPr>
        <w:t>DOENÇAS AUTOIMUNES PÓS-COVID-19: DESAFIOS E PERSPECTIVAS NA IMUNOLOGIA TRANSLACIONAL</w:t>
      </w:r>
    </w:p>
    <w:p w14:paraId="3F1430A0" w14:textId="77777777" w:rsidR="00495049" w:rsidRPr="00495049" w:rsidRDefault="00495049" w:rsidP="00495049">
      <w:pPr>
        <w:spacing w:after="0" w:line="240" w:lineRule="auto"/>
        <w:jc w:val="center"/>
        <w:rPr>
          <w:rFonts w:ascii="Arial" w:eastAsiaTheme="minorEastAsia" w:hAnsi="Arial" w:cs="Arial"/>
          <w:b/>
          <w:bCs/>
          <w:color w:val="2F5496" w:themeColor="accent1" w:themeShade="BF"/>
          <w:spacing w:val="15"/>
          <w:sz w:val="24"/>
          <w:szCs w:val="24"/>
        </w:rPr>
      </w:pPr>
    </w:p>
    <w:p w14:paraId="29633FDC" w14:textId="453584BE" w:rsidR="00BE6C76" w:rsidRPr="00EC33C6" w:rsidRDefault="00495049" w:rsidP="00495049">
      <w:pPr>
        <w:spacing w:after="0" w:line="240" w:lineRule="auto"/>
        <w:jc w:val="center"/>
        <w:rPr>
          <w:rFonts w:ascii="Arial" w:hAnsi="Arial" w:cs="Arial"/>
          <w:sz w:val="24"/>
          <w:szCs w:val="24"/>
          <w:lang w:val="es-419"/>
        </w:rPr>
      </w:pPr>
      <w:r w:rsidRPr="00EC33C6">
        <w:rPr>
          <w:rFonts w:ascii="Arial" w:eastAsiaTheme="minorEastAsia" w:hAnsi="Arial" w:cs="Arial"/>
          <w:b/>
          <w:bCs/>
          <w:color w:val="2F5496" w:themeColor="accent1" w:themeShade="BF"/>
          <w:spacing w:val="15"/>
          <w:sz w:val="24"/>
          <w:szCs w:val="24"/>
          <w:lang w:val="es-419"/>
        </w:rPr>
        <w:t>ENFERMEDADES AUTOINMUNES POST-COVID-19: RETOS Y PERSPECTIVAS EN INMUNOLOGÍA TRASLACIONAL</w:t>
      </w:r>
    </w:p>
    <w:p w14:paraId="45F96D0F" w14:textId="77777777" w:rsidR="00EA0107" w:rsidRPr="00EC33C6" w:rsidRDefault="00EA0107" w:rsidP="00461994">
      <w:pPr>
        <w:spacing w:after="0" w:line="240" w:lineRule="auto"/>
        <w:jc w:val="both"/>
        <w:rPr>
          <w:rFonts w:ascii="Arial" w:hAnsi="Arial" w:cs="Arial"/>
          <w:sz w:val="24"/>
          <w:szCs w:val="24"/>
          <w:lang w:val="es-419"/>
        </w:rPr>
      </w:pPr>
    </w:p>
    <w:p w14:paraId="15F16125" w14:textId="77777777" w:rsidR="00495049" w:rsidRPr="00EC33C6" w:rsidRDefault="00495049" w:rsidP="00461994">
      <w:pPr>
        <w:spacing w:after="0" w:line="240" w:lineRule="auto"/>
        <w:jc w:val="both"/>
        <w:rPr>
          <w:rFonts w:ascii="Arial" w:hAnsi="Arial" w:cs="Arial"/>
          <w:sz w:val="24"/>
          <w:szCs w:val="24"/>
          <w:lang w:val="es-419"/>
        </w:rPr>
        <w:sectPr w:rsidR="00495049" w:rsidRPr="00EC33C6" w:rsidSect="006757B8">
          <w:headerReference w:type="default" r:id="rId10"/>
          <w:footerReference w:type="default" r:id="rId11"/>
          <w:headerReference w:type="first" r:id="rId12"/>
          <w:footerReference w:type="first" r:id="rId13"/>
          <w:pgSz w:w="11906" w:h="16838"/>
          <w:pgMar w:top="3119" w:right="1077" w:bottom="1077" w:left="1077" w:header="709" w:footer="709" w:gutter="0"/>
          <w:pgNumType w:start="1"/>
          <w:cols w:space="708"/>
          <w:titlePg/>
          <w:docGrid w:linePitch="360"/>
        </w:sectPr>
      </w:pPr>
    </w:p>
    <w:tbl>
      <w:tblPr>
        <w:tblStyle w:val="Tabelacomgrade"/>
        <w:tblW w:w="0" w:type="auto"/>
        <w:tblInd w:w="3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
        <w:gridCol w:w="3064"/>
      </w:tblGrid>
      <w:tr w:rsidR="00BE6C76" w:rsidRPr="00495049" w14:paraId="082A833A" w14:textId="77777777" w:rsidTr="00EF7BFF">
        <w:tc>
          <w:tcPr>
            <w:tcW w:w="483" w:type="dxa"/>
            <w:shd w:val="clear" w:color="auto" w:fill="FFFFFF" w:themeFill="background1"/>
            <w:vAlign w:val="center"/>
          </w:tcPr>
          <w:p w14:paraId="390C14F8" w14:textId="7A5BC929" w:rsidR="00BE6C76" w:rsidRPr="00495049" w:rsidRDefault="000D1454" w:rsidP="00461994">
            <w:pPr>
              <w:jc w:val="both"/>
              <w:rPr>
                <w:rFonts w:ascii="Arial" w:hAnsi="Arial" w:cs="Arial"/>
                <w:sz w:val="22"/>
                <w:szCs w:val="22"/>
              </w:rPr>
            </w:pPr>
            <w:r w:rsidRPr="00495049">
              <w:rPr>
                <w:rFonts w:ascii="Arial" w:hAnsi="Arial" w:cs="Arial"/>
              </w:rPr>
              <w:fldChar w:fldCharType="begin"/>
            </w:r>
            <w:r w:rsidRPr="00495049">
              <w:rPr>
                <w:rFonts w:ascii="Arial" w:hAnsi="Arial" w:cs="Arial"/>
              </w:rPr>
              <w:instrText xml:space="preserve"> INCLUDEPICTURE "https://galoa.com.br/wp-content/uploads/2022/05/doi-med.png" \* MERGEFORMATINET </w:instrText>
            </w:r>
            <w:r w:rsidRPr="00495049">
              <w:rPr>
                <w:rFonts w:ascii="Arial" w:hAnsi="Arial" w:cs="Arial"/>
              </w:rPr>
              <w:fldChar w:fldCharType="separate"/>
            </w:r>
            <w:r w:rsidRPr="00495049">
              <w:rPr>
                <w:rFonts w:ascii="Arial" w:hAnsi="Arial" w:cs="Arial"/>
                <w:noProof/>
              </w:rPr>
              <w:drawing>
                <wp:inline distT="0" distB="0" distL="0" distR="0" wp14:anchorId="3718BCBF" wp14:editId="4DAF9ABB">
                  <wp:extent cx="204788" cy="204515"/>
                  <wp:effectExtent l="0" t="0" r="5080" b="5080"/>
                  <wp:docPr id="713363691" name="Imagem 1" descr="DOI, Indexação de Artigos e serviços Crossref - Galoá Ciên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I, Indexação de Artigos e serviços Crossref - Galoá Ciência"/>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1212" cy="220917"/>
                          </a:xfrm>
                          <a:prstGeom prst="rect">
                            <a:avLst/>
                          </a:prstGeom>
                          <a:noFill/>
                          <a:ln>
                            <a:noFill/>
                          </a:ln>
                        </pic:spPr>
                      </pic:pic>
                    </a:graphicData>
                  </a:graphic>
                </wp:inline>
              </w:drawing>
            </w:r>
            <w:r w:rsidRPr="00495049">
              <w:rPr>
                <w:rFonts w:ascii="Arial" w:hAnsi="Arial" w:cs="Arial"/>
              </w:rPr>
              <w:fldChar w:fldCharType="end"/>
            </w:r>
          </w:p>
        </w:tc>
        <w:tc>
          <w:tcPr>
            <w:tcW w:w="3064" w:type="dxa"/>
            <w:vAlign w:val="center"/>
          </w:tcPr>
          <w:p w14:paraId="1F8D3B59" w14:textId="65657F92" w:rsidR="00BE6C76" w:rsidRPr="00495049" w:rsidRDefault="003D7895" w:rsidP="00300D14">
            <w:pPr>
              <w:jc w:val="both"/>
              <w:rPr>
                <w:rFonts w:ascii="Arial" w:hAnsi="Arial" w:cs="Arial"/>
                <w:sz w:val="16"/>
                <w:szCs w:val="16"/>
              </w:rPr>
            </w:pPr>
            <w:r w:rsidRPr="00495049">
              <w:rPr>
                <w:rFonts w:ascii="Arial" w:hAnsi="Arial" w:cs="Arial"/>
                <w:sz w:val="16"/>
                <w:szCs w:val="16"/>
              </w:rPr>
              <w:t>10.56238/edimpacto202</w:t>
            </w:r>
            <w:r w:rsidR="00D97DE7">
              <w:rPr>
                <w:rFonts w:ascii="Arial" w:hAnsi="Arial" w:cs="Arial"/>
                <w:sz w:val="16"/>
                <w:szCs w:val="16"/>
              </w:rPr>
              <w:t>5</w:t>
            </w:r>
            <w:r w:rsidRPr="00495049">
              <w:rPr>
                <w:rFonts w:ascii="Arial" w:hAnsi="Arial" w:cs="Arial"/>
                <w:sz w:val="16"/>
                <w:szCs w:val="16"/>
              </w:rPr>
              <w:t>.0</w:t>
            </w:r>
            <w:r w:rsidR="00EC33C6">
              <w:rPr>
                <w:rFonts w:ascii="Arial" w:hAnsi="Arial" w:cs="Arial"/>
                <w:sz w:val="16"/>
                <w:szCs w:val="16"/>
              </w:rPr>
              <w:t>66</w:t>
            </w:r>
            <w:r w:rsidRPr="00495049">
              <w:rPr>
                <w:rFonts w:ascii="Arial" w:hAnsi="Arial" w:cs="Arial"/>
                <w:sz w:val="16"/>
                <w:szCs w:val="16"/>
              </w:rPr>
              <w:t>-</w:t>
            </w:r>
            <w:r w:rsidR="00EC33C6">
              <w:rPr>
                <w:rFonts w:ascii="Arial" w:hAnsi="Arial" w:cs="Arial"/>
                <w:sz w:val="16"/>
                <w:szCs w:val="16"/>
              </w:rPr>
              <w:t>001</w:t>
            </w:r>
          </w:p>
        </w:tc>
      </w:tr>
    </w:tbl>
    <w:p w14:paraId="4F08889F" w14:textId="77777777" w:rsidR="000D1454" w:rsidRPr="00495049" w:rsidRDefault="000D1454" w:rsidP="00461994">
      <w:pPr>
        <w:spacing w:after="0" w:line="240" w:lineRule="auto"/>
        <w:jc w:val="both"/>
        <w:rPr>
          <w:rFonts w:ascii="Arial" w:hAnsi="Arial" w:cs="Arial"/>
          <w:b/>
          <w:bCs/>
          <w:color w:val="12B3B7"/>
        </w:rPr>
      </w:pPr>
    </w:p>
    <w:p w14:paraId="18DC22C1" w14:textId="77777777" w:rsidR="00EA0107" w:rsidRPr="00495049" w:rsidRDefault="00EA0107" w:rsidP="00461994">
      <w:pPr>
        <w:spacing w:after="0" w:line="240" w:lineRule="auto"/>
        <w:jc w:val="both"/>
        <w:rPr>
          <w:rFonts w:ascii="Arial" w:hAnsi="Arial" w:cs="Arial"/>
          <w:b/>
          <w:bCs/>
          <w:color w:val="12B3B7"/>
        </w:rPr>
        <w:sectPr w:rsidR="00EA0107" w:rsidRPr="00495049" w:rsidSect="003F5D0E">
          <w:type w:val="continuous"/>
          <w:pgSz w:w="11906" w:h="16838"/>
          <w:pgMar w:top="2835" w:right="1077" w:bottom="1077" w:left="1077" w:header="709" w:footer="709" w:gutter="0"/>
          <w:cols w:space="708"/>
          <w:titlePg/>
          <w:docGrid w:linePitch="360"/>
        </w:sectPr>
      </w:pPr>
    </w:p>
    <w:p w14:paraId="5E9AA50B" w14:textId="2CCEDF06" w:rsidR="00495049" w:rsidRPr="00495049" w:rsidRDefault="00495049" w:rsidP="00495049">
      <w:pPr>
        <w:spacing w:after="0"/>
        <w:jc w:val="center"/>
        <w:rPr>
          <w:rFonts w:ascii="Arial" w:hAnsi="Arial" w:cs="Arial"/>
          <w:b/>
          <w:bCs/>
          <w:color w:val="2F5496" w:themeColor="accent1" w:themeShade="BF"/>
          <w:sz w:val="24"/>
          <w:szCs w:val="24"/>
        </w:rPr>
      </w:pPr>
      <w:bookmarkStart w:id="0" w:name="_Hlk189669348"/>
      <w:r w:rsidRPr="00495049">
        <w:rPr>
          <w:rFonts w:ascii="Arial" w:hAnsi="Arial" w:cs="Arial"/>
          <w:b/>
          <w:bCs/>
          <w:color w:val="2F5496" w:themeColor="accent1" w:themeShade="BF"/>
          <w:sz w:val="24"/>
          <w:szCs w:val="24"/>
        </w:rPr>
        <w:t>Daiana Martins Clares</w:t>
      </w:r>
      <w:r>
        <w:rPr>
          <w:rStyle w:val="Refdenotaderodap"/>
          <w:rFonts w:ascii="Arial" w:hAnsi="Arial" w:cs="Arial"/>
          <w:b/>
          <w:bCs/>
          <w:color w:val="2F5496" w:themeColor="accent1" w:themeShade="BF"/>
          <w:sz w:val="24"/>
          <w:szCs w:val="24"/>
        </w:rPr>
        <w:footnoteReference w:id="1"/>
      </w:r>
      <w:r w:rsidRPr="00495049">
        <w:rPr>
          <w:rFonts w:ascii="Arial" w:hAnsi="Arial" w:cs="Arial"/>
          <w:b/>
          <w:bCs/>
          <w:color w:val="2F5496" w:themeColor="accent1" w:themeShade="BF"/>
          <w:sz w:val="24"/>
          <w:szCs w:val="24"/>
        </w:rPr>
        <w:t>, Mitzy Stephanny Machado</w:t>
      </w:r>
      <w:r>
        <w:rPr>
          <w:rStyle w:val="Refdenotaderodap"/>
          <w:rFonts w:ascii="Arial" w:hAnsi="Arial" w:cs="Arial"/>
          <w:b/>
          <w:bCs/>
          <w:color w:val="2F5496" w:themeColor="accent1" w:themeShade="BF"/>
          <w:sz w:val="24"/>
          <w:szCs w:val="24"/>
        </w:rPr>
        <w:footnoteReference w:id="2"/>
      </w:r>
      <w:r w:rsidRPr="00495049">
        <w:rPr>
          <w:rFonts w:ascii="Arial" w:hAnsi="Arial" w:cs="Arial"/>
          <w:b/>
          <w:bCs/>
          <w:color w:val="2F5496" w:themeColor="accent1" w:themeShade="BF"/>
          <w:sz w:val="24"/>
          <w:szCs w:val="24"/>
        </w:rPr>
        <w:t>, Ana Júlia da Silva Rodrigues Carvalho Leite</w:t>
      </w:r>
      <w:r>
        <w:rPr>
          <w:rStyle w:val="Refdenotaderodap"/>
          <w:rFonts w:ascii="Arial" w:hAnsi="Arial" w:cs="Arial"/>
          <w:b/>
          <w:bCs/>
          <w:color w:val="2F5496" w:themeColor="accent1" w:themeShade="BF"/>
          <w:sz w:val="24"/>
          <w:szCs w:val="24"/>
        </w:rPr>
        <w:footnoteReference w:id="3"/>
      </w:r>
      <w:r w:rsidRPr="00495049">
        <w:rPr>
          <w:rFonts w:ascii="Arial" w:hAnsi="Arial" w:cs="Arial"/>
          <w:b/>
          <w:bCs/>
          <w:color w:val="2F5496" w:themeColor="accent1" w:themeShade="BF"/>
          <w:sz w:val="24"/>
          <w:szCs w:val="24"/>
        </w:rPr>
        <w:t>, André Valério da Silva</w:t>
      </w:r>
      <w:r>
        <w:rPr>
          <w:rStyle w:val="Refdenotaderodap"/>
          <w:rFonts w:ascii="Arial" w:hAnsi="Arial" w:cs="Arial"/>
          <w:b/>
          <w:bCs/>
          <w:color w:val="2F5496" w:themeColor="accent1" w:themeShade="BF"/>
          <w:sz w:val="24"/>
          <w:szCs w:val="24"/>
        </w:rPr>
        <w:footnoteReference w:id="4"/>
      </w:r>
      <w:r w:rsidRPr="00495049">
        <w:rPr>
          <w:rFonts w:ascii="Arial" w:hAnsi="Arial" w:cs="Arial"/>
          <w:b/>
          <w:bCs/>
          <w:color w:val="2F5496" w:themeColor="accent1" w:themeShade="BF"/>
          <w:sz w:val="24"/>
          <w:szCs w:val="24"/>
        </w:rPr>
        <w:t>, Juliano Yasuo Oda</w:t>
      </w:r>
      <w:r>
        <w:rPr>
          <w:rStyle w:val="Refdenotaderodap"/>
          <w:rFonts w:ascii="Arial" w:hAnsi="Arial" w:cs="Arial"/>
          <w:b/>
          <w:bCs/>
          <w:color w:val="2F5496" w:themeColor="accent1" w:themeShade="BF"/>
          <w:sz w:val="24"/>
          <w:szCs w:val="24"/>
        </w:rPr>
        <w:footnoteReference w:id="5"/>
      </w:r>
      <w:r w:rsidRPr="00495049">
        <w:rPr>
          <w:rFonts w:ascii="Arial" w:hAnsi="Arial" w:cs="Arial"/>
          <w:b/>
          <w:bCs/>
          <w:color w:val="2F5496" w:themeColor="accent1" w:themeShade="BF"/>
          <w:sz w:val="24"/>
          <w:szCs w:val="24"/>
        </w:rPr>
        <w:t>, Aline Rafaela da Silva Rodrigues Machado</w:t>
      </w:r>
      <w:r>
        <w:rPr>
          <w:rStyle w:val="Refdenotaderodap"/>
          <w:rFonts w:ascii="Arial" w:hAnsi="Arial" w:cs="Arial"/>
          <w:b/>
          <w:bCs/>
          <w:color w:val="2F5496" w:themeColor="accent1" w:themeShade="BF"/>
          <w:sz w:val="24"/>
          <w:szCs w:val="24"/>
        </w:rPr>
        <w:footnoteReference w:id="6"/>
      </w:r>
      <w:r w:rsidRPr="00495049">
        <w:rPr>
          <w:rFonts w:ascii="Arial" w:hAnsi="Arial" w:cs="Arial"/>
          <w:b/>
          <w:bCs/>
          <w:color w:val="2F5496" w:themeColor="accent1" w:themeShade="BF"/>
          <w:sz w:val="24"/>
          <w:szCs w:val="24"/>
        </w:rPr>
        <w:t>, Alex Martins Machado</w:t>
      </w:r>
      <w:r>
        <w:rPr>
          <w:rStyle w:val="Refdenotaderodap"/>
          <w:rFonts w:ascii="Arial" w:hAnsi="Arial" w:cs="Arial"/>
          <w:b/>
          <w:bCs/>
          <w:color w:val="2F5496" w:themeColor="accent1" w:themeShade="BF"/>
          <w:sz w:val="24"/>
          <w:szCs w:val="24"/>
        </w:rPr>
        <w:footnoteReference w:id="7"/>
      </w:r>
    </w:p>
    <w:bookmarkEnd w:id="0"/>
    <w:p w14:paraId="2726F1E6" w14:textId="0B41626A" w:rsidR="00EA0107" w:rsidRPr="00495049" w:rsidRDefault="00461994" w:rsidP="00461994">
      <w:pPr>
        <w:tabs>
          <w:tab w:val="left" w:pos="705"/>
        </w:tabs>
        <w:spacing w:after="0" w:line="240" w:lineRule="auto"/>
        <w:jc w:val="both"/>
        <w:rPr>
          <w:rFonts w:ascii="Arial" w:hAnsi="Arial" w:cs="Arial"/>
          <w:color w:val="0C065A"/>
        </w:rPr>
        <w:sectPr w:rsidR="00EA0107" w:rsidRPr="00495049" w:rsidSect="003F5D0E">
          <w:type w:val="continuous"/>
          <w:pgSz w:w="11906" w:h="16838"/>
          <w:pgMar w:top="2835" w:right="1077" w:bottom="1077" w:left="1077" w:header="709" w:footer="709" w:gutter="0"/>
          <w:cols w:space="708"/>
          <w:titlePg/>
          <w:docGrid w:linePitch="360"/>
        </w:sectPr>
      </w:pPr>
      <w:r w:rsidRPr="00495049">
        <w:rPr>
          <w:rFonts w:ascii="Arial" w:hAnsi="Arial" w:cs="Arial"/>
          <w:noProof/>
          <w:color w:val="0C065A"/>
        </w:rPr>
        <mc:AlternateContent>
          <mc:Choice Requires="wps">
            <w:drawing>
              <wp:anchor distT="0" distB="0" distL="114300" distR="114300" simplePos="0" relativeHeight="251659264" behindDoc="0" locked="0" layoutInCell="1" allowOverlap="1" wp14:anchorId="0F65E1A9" wp14:editId="32A184D7">
                <wp:simplePos x="0" y="0"/>
                <wp:positionH relativeFrom="column">
                  <wp:posOffset>-226695</wp:posOffset>
                </wp:positionH>
                <wp:positionV relativeFrom="paragraph">
                  <wp:posOffset>66675</wp:posOffset>
                </wp:positionV>
                <wp:extent cx="6607810" cy="0"/>
                <wp:effectExtent l="0" t="0" r="0" b="0"/>
                <wp:wrapNone/>
                <wp:docPr id="1417944158" name="Conector Reto 2"/>
                <wp:cNvGraphicFramePr/>
                <a:graphic xmlns:a="http://schemas.openxmlformats.org/drawingml/2006/main">
                  <a:graphicData uri="http://schemas.microsoft.com/office/word/2010/wordprocessingShape">
                    <wps:wsp>
                      <wps:cNvCnPr/>
                      <wps:spPr>
                        <a:xfrm>
                          <a:off x="0" y="0"/>
                          <a:ext cx="6607810" cy="0"/>
                        </a:xfrm>
                        <a:prstGeom prst="line">
                          <a:avLst/>
                        </a:prstGeom>
                        <a:ln>
                          <a:solidFill>
                            <a:schemeClr val="accent5">
                              <a:lumMod val="60000"/>
                              <a:lumOff val="4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D1128BD" id="Conector Re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85pt,5.25pt" to="502.4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" strokecolor="#9cc2e5 [1944]" strokeweight=".5pt">
                <v:stroke joinstyle="miter"/>
              </v:line>
            </w:pict>
          </mc:Fallback>
        </mc:AlternateContent>
      </w:r>
    </w:p>
    <w:p w14:paraId="5F01ACBD" w14:textId="61A39278" w:rsidR="00E27E66" w:rsidRPr="00EC33C6" w:rsidRDefault="00BE0424" w:rsidP="00461994">
      <w:pPr>
        <w:tabs>
          <w:tab w:val="left" w:pos="705"/>
        </w:tabs>
        <w:spacing w:after="0" w:line="240" w:lineRule="auto"/>
        <w:jc w:val="both"/>
        <w:rPr>
          <w:rFonts w:ascii="Arial" w:hAnsi="Arial" w:cs="Arial"/>
          <w:b/>
          <w:bCs/>
          <w:color w:val="2F5496" w:themeColor="accent1" w:themeShade="BF"/>
          <w:sz w:val="24"/>
          <w:szCs w:val="24"/>
          <w:lang w:val="en-US"/>
        </w:rPr>
      </w:pPr>
      <w:r w:rsidRPr="00EC33C6">
        <w:rPr>
          <w:rFonts w:ascii="Arial" w:hAnsi="Arial" w:cs="Arial"/>
          <w:b/>
          <w:bCs/>
          <w:color w:val="2F5496" w:themeColor="accent1" w:themeShade="BF"/>
          <w:sz w:val="24"/>
          <w:szCs w:val="24"/>
          <w:lang w:val="en-US"/>
        </w:rPr>
        <w:t>ABSTRACT</w:t>
      </w:r>
    </w:p>
    <w:p w14:paraId="52BD8452" w14:textId="2A8D3420" w:rsidR="00495049" w:rsidRPr="00495049" w:rsidRDefault="00495049" w:rsidP="00461994">
      <w:pPr>
        <w:spacing w:after="0" w:line="240" w:lineRule="auto"/>
        <w:jc w:val="both"/>
        <w:rPr>
          <w:rFonts w:ascii="Arial" w:hAnsi="Arial" w:cs="Arial"/>
          <w:sz w:val="24"/>
          <w:szCs w:val="24"/>
          <w:lang w:val="en-US"/>
        </w:rPr>
      </w:pPr>
      <w:r w:rsidRPr="00495049">
        <w:rPr>
          <w:rFonts w:ascii="Arial" w:hAnsi="Arial" w:cs="Arial"/>
          <w:sz w:val="24"/>
          <w:szCs w:val="24"/>
          <w:lang w:val="en-US"/>
        </w:rPr>
        <w:t xml:space="preserve">The COVID-19 pandemic has highlighted not only the direct impacts of SARS-CoV-2 infection but also its potential role as a trigger for autoimmune diseases. Several immunopathological mechanisms have been identified, including cytokine storm, regulatory T cell dysfunction, exacerbated B cell activation, molecular mimicry, and NET formation, all capable of breaking immune tolerance. Increasing evidence shows the presence of multiple autoantibodies in post-COVID patients, such as ANA, anti-DNA, anti-TPO, anti-GAD, and ANCA, suggesting an increased risk of autoimmune conditions. Among the diseases described after infection are: Guillain-Barré syndrome, systemic lupus erythematosus, rheumatoid arthritis, seronegative arthritis, type 1 diabetes, Hashimoto's disease, multiple sclerosis, inflammatory myopathies, and vasculitis. Documented clinical cases reinforce this association, illustrating both acute and chronic presentations in individuals with no prior history of autoimmunity. Although the mechanisms are not yet fully understood, a convergence between genetic predisposition, persistent inflammation, and viral triggers is observed. The role of COVID-19 vaccines is also debated: although essential in containing the pandemic, reports of rare autoimmune events suggest that, in susceptible individuals, they may act as an additional </w:t>
      </w:r>
      <w:r w:rsidRPr="00495049">
        <w:rPr>
          <w:rFonts w:ascii="Arial" w:hAnsi="Arial" w:cs="Arial"/>
          <w:sz w:val="24"/>
          <w:szCs w:val="24"/>
          <w:lang w:val="en-US"/>
        </w:rPr>
        <w:lastRenderedPageBreak/>
        <w:t>trigger. However, the benefits far outweigh the risks. Clinical implications include the need for prolonged surveillance of post-COVID patients, early autoantibody screening, and personalized therapeutic strategies. Future prospects involve the development of predictive biomarkers, targeted immunomodulatory therapies, and multicenter registries to better understand the relationship between COVID-19 and autoimmunity. Thus, COVID-19 establishes itself as a unique model for studying how viral infections can precipitate autoimmune diseases on a population scale.</w:t>
      </w:r>
    </w:p>
    <w:p w14:paraId="7F53996C" w14:textId="77777777" w:rsidR="00495049" w:rsidRPr="00495049" w:rsidRDefault="00495049" w:rsidP="00461994">
      <w:pPr>
        <w:spacing w:after="0" w:line="240" w:lineRule="auto"/>
        <w:jc w:val="both"/>
        <w:rPr>
          <w:rFonts w:ascii="Arial" w:hAnsi="Arial" w:cs="Arial"/>
          <w:sz w:val="24"/>
          <w:szCs w:val="24"/>
          <w:lang w:val="en-US"/>
        </w:rPr>
      </w:pPr>
    </w:p>
    <w:p w14:paraId="5F65E65E" w14:textId="7910E7C6" w:rsidR="00BE6C76" w:rsidRPr="00495049" w:rsidRDefault="00BE0424" w:rsidP="00461994">
      <w:pPr>
        <w:spacing w:after="0" w:line="240" w:lineRule="auto"/>
        <w:jc w:val="both"/>
        <w:rPr>
          <w:rFonts w:ascii="Arial" w:hAnsi="Arial" w:cs="Arial"/>
          <w:sz w:val="24"/>
          <w:szCs w:val="24"/>
          <w:lang w:val="en-US"/>
        </w:rPr>
      </w:pPr>
      <w:r w:rsidRPr="00495049">
        <w:rPr>
          <w:rFonts w:ascii="Arial" w:hAnsi="Arial" w:cs="Arial"/>
          <w:b/>
          <w:bCs/>
          <w:color w:val="2F5496" w:themeColor="accent1" w:themeShade="BF"/>
          <w:sz w:val="24"/>
          <w:szCs w:val="24"/>
          <w:lang w:val="en-US"/>
        </w:rPr>
        <w:t>Keywords</w:t>
      </w:r>
      <w:r w:rsidR="00BE6C76" w:rsidRPr="00495049">
        <w:rPr>
          <w:rFonts w:ascii="Arial" w:hAnsi="Arial" w:cs="Arial"/>
          <w:b/>
          <w:bCs/>
          <w:color w:val="0C065A"/>
          <w:sz w:val="24"/>
          <w:szCs w:val="24"/>
          <w:lang w:val="en-US"/>
        </w:rPr>
        <w:t>:</w:t>
      </w:r>
      <w:r w:rsidR="00BE6C76" w:rsidRPr="00495049">
        <w:rPr>
          <w:rFonts w:ascii="Arial" w:hAnsi="Arial" w:cs="Arial"/>
          <w:color w:val="ED7D31" w:themeColor="accent2"/>
          <w:sz w:val="24"/>
          <w:szCs w:val="24"/>
          <w:lang w:val="en-US"/>
        </w:rPr>
        <w:t xml:space="preserve"> </w:t>
      </w:r>
      <w:r w:rsidR="00495049" w:rsidRPr="00495049">
        <w:rPr>
          <w:rFonts w:ascii="Arial" w:hAnsi="Arial" w:cs="Arial"/>
          <w:sz w:val="24"/>
          <w:szCs w:val="24"/>
          <w:lang w:val="en-US"/>
        </w:rPr>
        <w:t>COVID-19. Autoimmunity. Autoimmune Disease. Translational Immunology.</w:t>
      </w:r>
    </w:p>
    <w:p w14:paraId="34A1C079" w14:textId="77777777" w:rsidR="00495049" w:rsidRPr="00495049" w:rsidRDefault="00495049" w:rsidP="00461994">
      <w:pPr>
        <w:spacing w:after="0" w:line="240" w:lineRule="auto"/>
        <w:jc w:val="both"/>
        <w:rPr>
          <w:rFonts w:ascii="Arial" w:hAnsi="Arial" w:cs="Arial"/>
          <w:sz w:val="24"/>
          <w:szCs w:val="24"/>
          <w:lang w:val="en-US"/>
        </w:rPr>
      </w:pPr>
    </w:p>
    <w:p w14:paraId="1CCBC4C1" w14:textId="0E2C96C6" w:rsidR="00495049" w:rsidRPr="00495049" w:rsidRDefault="00495049" w:rsidP="00495049">
      <w:pPr>
        <w:tabs>
          <w:tab w:val="left" w:pos="705"/>
        </w:tabs>
        <w:spacing w:after="0" w:line="240" w:lineRule="auto"/>
        <w:jc w:val="both"/>
        <w:rPr>
          <w:rFonts w:ascii="Arial" w:hAnsi="Arial" w:cs="Arial"/>
          <w:b/>
          <w:bCs/>
          <w:color w:val="2F5496" w:themeColor="accent1" w:themeShade="BF"/>
          <w:sz w:val="24"/>
          <w:szCs w:val="24"/>
        </w:rPr>
      </w:pPr>
      <w:r w:rsidRPr="00495049">
        <w:rPr>
          <w:rFonts w:ascii="Arial" w:hAnsi="Arial" w:cs="Arial"/>
          <w:b/>
          <w:bCs/>
          <w:color w:val="2F5496" w:themeColor="accent1" w:themeShade="BF"/>
          <w:sz w:val="24"/>
          <w:szCs w:val="24"/>
        </w:rPr>
        <w:t>RESUMO</w:t>
      </w:r>
    </w:p>
    <w:p w14:paraId="5047E7D2" w14:textId="77777777" w:rsidR="00495049" w:rsidRPr="00EC33C6" w:rsidRDefault="00495049" w:rsidP="00495049">
      <w:pPr>
        <w:spacing w:after="0" w:line="240" w:lineRule="auto"/>
        <w:jc w:val="both"/>
        <w:rPr>
          <w:rFonts w:ascii="Arial" w:hAnsi="Arial" w:cs="Arial"/>
          <w:sz w:val="24"/>
          <w:szCs w:val="24"/>
        </w:rPr>
      </w:pPr>
      <w:r w:rsidRPr="00EC33C6">
        <w:rPr>
          <w:rFonts w:ascii="Arial" w:hAnsi="Arial" w:cs="Arial"/>
          <w:sz w:val="24"/>
          <w:szCs w:val="24"/>
        </w:rPr>
        <w:t xml:space="preserve">A pandemia da COVID-19 trouxe à luz não apenas os impactos diretos da infecção pelo SARS-CoV-2, mas também seu papel como potencial desencadeador de doenças autoimunes. Diversos mecanismos imunopatológicos foram identificados, incluindo tempestade de citocinas, disfunção de células T reguladoras, ativação exacerbada de células B, mimetismo molecular e formação de NETs, todos capazes de romper a tolerância imunológica. Evidências crescentes mostram a presença de múltiplos autoanticorpos em pacientes pós-COVID, como ANA, anti-DNA, anti-TPO, anti-GAD e ANCA, sugerindo risco aumentado para quadros autoimunes. Entre as doenças descritas após a infecção destacam-se: síndrome de Guillain-Barré, lúpus eritematoso sistêmico, artrite reumatoide, artrites soronegativas, diabetes tipo 1, doença de Hashimoto, esclerose múltipla, miopatias inflamatórias e vasculites. Casos clínicos documentados reforçam a associação, ilustrando tanto apresentações agudas quanto crônicas em indivíduos sem histórico prévio de autoimunidade. Embora os mecanismos ainda não estejam totalmente esclarecidos, observa-se convergência entre predisposição genética, inflamação persistente e gatilhos virais. O papel das vacinas contra a COVID-19 também é debatido: embora sejam essenciais na contenção da pandemia, relatos de eventos autoimunes raros sugerem que, em indivíduos suscetíveis, possam atuar como gatilho adicional. Contudo, os benefícios superam amplamente os riscos. As implicações clínicas incluem a necessidade de vigilância prolongada de pacientes pós-COVID, rastreamento precoce de autoanticorpos e estratégias terapêuticas personalizadas. Perspectivas futuras envolvem o desenvolvimento de biomarcadores preditivos, terapias imunomoduladoras direcionadas e registros multicêntricos para melhor compreender a relação entre COVID-19 e autoimunidade. Assim, a COVID-19 se estabelece como um modelo único para estudar como infecções virais podem precipitar doenças autoimunes em escala populacional. </w:t>
      </w:r>
    </w:p>
    <w:p w14:paraId="7195369B" w14:textId="77777777" w:rsidR="00495049" w:rsidRPr="00EC33C6" w:rsidRDefault="00495049" w:rsidP="00495049">
      <w:pPr>
        <w:spacing w:after="0" w:line="240" w:lineRule="auto"/>
        <w:jc w:val="both"/>
        <w:rPr>
          <w:rFonts w:ascii="Arial" w:hAnsi="Arial" w:cs="Arial"/>
          <w:sz w:val="24"/>
          <w:szCs w:val="24"/>
        </w:rPr>
      </w:pPr>
    </w:p>
    <w:p w14:paraId="0D62A7CB" w14:textId="0A945EEA" w:rsidR="00495049" w:rsidRPr="00D97DE7" w:rsidRDefault="00495049" w:rsidP="00495049">
      <w:pPr>
        <w:spacing w:after="0" w:line="240" w:lineRule="auto"/>
        <w:jc w:val="both"/>
        <w:rPr>
          <w:rFonts w:ascii="Arial" w:hAnsi="Arial" w:cs="Arial"/>
          <w:sz w:val="24"/>
          <w:szCs w:val="24"/>
          <w:lang w:val="es-419"/>
        </w:rPr>
      </w:pPr>
      <w:r w:rsidRPr="00EC33C6">
        <w:rPr>
          <w:rFonts w:ascii="Arial" w:hAnsi="Arial" w:cs="Arial"/>
          <w:b/>
          <w:bCs/>
          <w:color w:val="2F5496" w:themeColor="accent1" w:themeShade="BF"/>
          <w:sz w:val="24"/>
          <w:szCs w:val="24"/>
        </w:rPr>
        <w:t>Palavras-chave</w:t>
      </w:r>
      <w:r w:rsidRPr="00EC33C6">
        <w:rPr>
          <w:rFonts w:ascii="Arial" w:hAnsi="Arial" w:cs="Arial"/>
          <w:b/>
          <w:bCs/>
          <w:color w:val="0C065A"/>
          <w:sz w:val="24"/>
          <w:szCs w:val="24"/>
        </w:rPr>
        <w:t>:</w:t>
      </w:r>
      <w:r w:rsidRPr="00EC33C6">
        <w:rPr>
          <w:rFonts w:ascii="Arial" w:hAnsi="Arial" w:cs="Arial"/>
          <w:color w:val="ED7D31" w:themeColor="accent2"/>
          <w:sz w:val="24"/>
          <w:szCs w:val="24"/>
        </w:rPr>
        <w:t xml:space="preserve"> </w:t>
      </w:r>
      <w:r w:rsidRPr="00EC33C6">
        <w:rPr>
          <w:rFonts w:ascii="Arial" w:hAnsi="Arial" w:cs="Arial"/>
          <w:sz w:val="24"/>
          <w:szCs w:val="24"/>
        </w:rPr>
        <w:t xml:space="preserve">COVID-19. Autoimunidade. Doença Autoimune. </w:t>
      </w:r>
      <w:r w:rsidRPr="00D97DE7">
        <w:rPr>
          <w:rFonts w:ascii="Arial" w:hAnsi="Arial" w:cs="Arial"/>
          <w:sz w:val="24"/>
          <w:szCs w:val="24"/>
          <w:lang w:val="es-419"/>
        </w:rPr>
        <w:t xml:space="preserve">Imunologia Translacional. </w:t>
      </w:r>
    </w:p>
    <w:p w14:paraId="11AA4486" w14:textId="77777777" w:rsidR="00495049" w:rsidRPr="00D97DE7" w:rsidRDefault="00495049" w:rsidP="00495049">
      <w:pPr>
        <w:spacing w:after="0" w:line="240" w:lineRule="auto"/>
        <w:jc w:val="both"/>
        <w:rPr>
          <w:rFonts w:ascii="Arial" w:hAnsi="Arial" w:cs="Arial"/>
          <w:sz w:val="24"/>
          <w:szCs w:val="24"/>
          <w:lang w:val="es-419"/>
        </w:rPr>
      </w:pPr>
    </w:p>
    <w:p w14:paraId="38488000" w14:textId="06F630F8" w:rsidR="00495049" w:rsidRPr="00D97DE7" w:rsidRDefault="00495049" w:rsidP="00495049">
      <w:pPr>
        <w:tabs>
          <w:tab w:val="left" w:pos="705"/>
        </w:tabs>
        <w:spacing w:after="0" w:line="240" w:lineRule="auto"/>
        <w:jc w:val="both"/>
        <w:rPr>
          <w:rFonts w:ascii="Arial" w:hAnsi="Arial" w:cs="Arial"/>
          <w:b/>
          <w:bCs/>
          <w:color w:val="2F5496" w:themeColor="accent1" w:themeShade="BF"/>
          <w:sz w:val="24"/>
          <w:szCs w:val="24"/>
          <w:lang w:val="es-419"/>
        </w:rPr>
      </w:pPr>
      <w:r w:rsidRPr="00D97DE7">
        <w:rPr>
          <w:rFonts w:ascii="Arial" w:hAnsi="Arial" w:cs="Arial"/>
          <w:b/>
          <w:bCs/>
          <w:color w:val="2F5496" w:themeColor="accent1" w:themeShade="BF"/>
          <w:sz w:val="24"/>
          <w:szCs w:val="24"/>
          <w:lang w:val="es-419"/>
        </w:rPr>
        <w:t>RESUMEN</w:t>
      </w:r>
    </w:p>
    <w:p w14:paraId="0AD428D0" w14:textId="786AC1CE" w:rsidR="00495049" w:rsidRPr="00EC33C6" w:rsidRDefault="00495049" w:rsidP="00495049">
      <w:pPr>
        <w:spacing w:after="0" w:line="240" w:lineRule="auto"/>
        <w:jc w:val="both"/>
        <w:rPr>
          <w:rFonts w:ascii="Arial" w:hAnsi="Arial" w:cs="Arial"/>
          <w:sz w:val="24"/>
          <w:szCs w:val="24"/>
          <w:lang w:val="es-419"/>
        </w:rPr>
      </w:pPr>
      <w:r w:rsidRPr="00EC33C6">
        <w:rPr>
          <w:rFonts w:ascii="Arial" w:hAnsi="Arial" w:cs="Arial"/>
          <w:sz w:val="24"/>
          <w:szCs w:val="24"/>
          <w:lang w:val="es-419"/>
        </w:rPr>
        <w:t xml:space="preserve">La pandemia de COVID-19 ha resaltado no solo los impactos directos de la infección por SARS-CoV-2, sino también su papel potencial como desencadenante de enfermedades autoinmunes. Se han identificado varios mecanismos inmunopatológicos, incluyendo la tormenta de citocinas, la disfunción de las células T reguladoras, la activación exacerbada de las células B, el mimetismo molecular y la formación de NET, todos capaces de romper la tolerancia inmune. Cada vez hay más evidencia que muestra la presencia de múltiples autoanticuerpos en pacientes post-COVID, como ANA, anti-ADN, anti-TPO, anti-GAD y ANCA, lo que sugiere un mayor riesgo de condiciones autoinmunes. Entre las enfermedades descritas después de la infección se encuentran: síndrome de Guillain-Barré, lupus eritematoso sistémico, artritis reumatoide, artritis seronegativa, diabetes tipo 1, enfermedad de Hashimoto, esclerosis múltiple, miopatías inflamatorias y vasculitis. Casos clínicos </w:t>
      </w:r>
      <w:r w:rsidRPr="00EC33C6">
        <w:rPr>
          <w:rFonts w:ascii="Arial" w:hAnsi="Arial" w:cs="Arial"/>
          <w:sz w:val="24"/>
          <w:szCs w:val="24"/>
          <w:lang w:val="es-419"/>
        </w:rPr>
        <w:lastRenderedPageBreak/>
        <w:t>documentados refuerzan esta asociación, ilustrando presentaciones tanto agudas como crónicas en individuos sin antecedentes de autoinmunidad. Aunque los mecanismos aún no se comprenden por completo, se observa una convergencia entre la predisposición genética, la inflamación persistente y los desencadenantes virales. El papel de las vacunas contra la COVID-19 también es objeto de debate: si bien son esenciales para contener la pandemia, los informes de eventos autoinmunes poco frecuentes sugieren que, en personas susceptibles, pueden actuar como un desencadenante adicional. Sin embargo, los beneficios superan con creces los riesgos. Las implicaciones clínicas incluyen la necesidad de una vigilancia prolongada de los pacientes post-COVID, la detección temprana de autoanticuerpos y estrategias terapéuticas personalizadas. Las perspectivas futuras implican el desarrollo de biomarcadores predictivos, terapias inmunomoduladoras dirigidas y registros multicéntricos para comprender mejor la relación entre la COVID-19 y la autoinmunidad. Por lo tanto, la COVID-19 se consolida como un modelo único para estudiar cómo las infecciones virales pueden precipitar enfermedades autoinmunes a escala poblacional.</w:t>
      </w:r>
    </w:p>
    <w:p w14:paraId="57AC05DC" w14:textId="77777777" w:rsidR="00495049" w:rsidRPr="00EC33C6" w:rsidRDefault="00495049" w:rsidP="00495049">
      <w:pPr>
        <w:spacing w:after="0" w:line="240" w:lineRule="auto"/>
        <w:jc w:val="both"/>
        <w:rPr>
          <w:rFonts w:ascii="Arial" w:hAnsi="Arial" w:cs="Arial"/>
          <w:sz w:val="24"/>
          <w:szCs w:val="24"/>
          <w:lang w:val="es-419"/>
        </w:rPr>
      </w:pPr>
    </w:p>
    <w:p w14:paraId="304AB8D1" w14:textId="0B5853F3" w:rsidR="00495049" w:rsidRPr="00EC33C6" w:rsidRDefault="00495049" w:rsidP="00461994">
      <w:pPr>
        <w:spacing w:after="0" w:line="240" w:lineRule="auto"/>
        <w:jc w:val="both"/>
        <w:rPr>
          <w:rFonts w:ascii="Arial" w:hAnsi="Arial" w:cs="Arial"/>
          <w:sz w:val="24"/>
          <w:szCs w:val="24"/>
          <w:lang w:val="es-419"/>
        </w:rPr>
      </w:pPr>
      <w:r w:rsidRPr="00EC33C6">
        <w:rPr>
          <w:rFonts w:ascii="Arial" w:hAnsi="Arial" w:cs="Arial"/>
          <w:b/>
          <w:bCs/>
          <w:color w:val="2F5496" w:themeColor="accent1" w:themeShade="BF"/>
          <w:sz w:val="24"/>
          <w:szCs w:val="24"/>
          <w:lang w:val="es-419"/>
        </w:rPr>
        <w:t>Palabras clave</w:t>
      </w:r>
      <w:r w:rsidRPr="00EC33C6">
        <w:rPr>
          <w:rFonts w:ascii="Arial" w:hAnsi="Arial" w:cs="Arial"/>
          <w:b/>
          <w:bCs/>
          <w:color w:val="0C065A"/>
          <w:sz w:val="24"/>
          <w:szCs w:val="24"/>
          <w:lang w:val="es-419"/>
        </w:rPr>
        <w:t>:</w:t>
      </w:r>
      <w:r w:rsidRPr="00EC33C6">
        <w:rPr>
          <w:rFonts w:ascii="Arial" w:hAnsi="Arial" w:cs="Arial"/>
          <w:color w:val="ED7D31" w:themeColor="accent2"/>
          <w:sz w:val="24"/>
          <w:szCs w:val="24"/>
          <w:lang w:val="es-419"/>
        </w:rPr>
        <w:t xml:space="preserve"> </w:t>
      </w:r>
      <w:r w:rsidRPr="00EC33C6">
        <w:rPr>
          <w:rFonts w:ascii="Arial" w:hAnsi="Arial" w:cs="Arial"/>
          <w:sz w:val="24"/>
          <w:szCs w:val="24"/>
          <w:lang w:val="es-419"/>
        </w:rPr>
        <w:t>C</w:t>
      </w:r>
      <w:r w:rsidR="00EC33C6" w:rsidRPr="00EC33C6">
        <w:rPr>
          <w:rFonts w:ascii="Arial" w:hAnsi="Arial" w:cs="Arial"/>
          <w:sz w:val="24"/>
          <w:szCs w:val="24"/>
          <w:lang w:val="es-419"/>
        </w:rPr>
        <w:t>ovid-19. Autoinmunidad. Enfermedad Autoinmune. Inmunología Traslacional.</w:t>
      </w:r>
    </w:p>
    <w:p w14:paraId="6093DBFE" w14:textId="77777777" w:rsidR="00495049" w:rsidRPr="00EC33C6" w:rsidRDefault="00495049" w:rsidP="00461994">
      <w:pPr>
        <w:spacing w:after="0" w:line="240" w:lineRule="auto"/>
        <w:jc w:val="both"/>
        <w:rPr>
          <w:rFonts w:ascii="Arial" w:hAnsi="Arial" w:cs="Arial"/>
          <w:sz w:val="24"/>
          <w:szCs w:val="24"/>
          <w:lang w:val="es-419"/>
        </w:rPr>
      </w:pPr>
    </w:p>
    <w:p w14:paraId="3444ADAB" w14:textId="69F763D3" w:rsidR="00495049" w:rsidRPr="00EC33C6" w:rsidRDefault="00495049" w:rsidP="00461994">
      <w:pPr>
        <w:spacing w:after="0" w:line="240" w:lineRule="auto"/>
        <w:jc w:val="both"/>
        <w:rPr>
          <w:rFonts w:ascii="Arial" w:hAnsi="Arial" w:cs="Arial"/>
          <w:sz w:val="24"/>
          <w:szCs w:val="24"/>
          <w:lang w:val="es-419"/>
        </w:rPr>
        <w:sectPr w:rsidR="00495049" w:rsidRPr="00EC33C6" w:rsidSect="00EA0107">
          <w:type w:val="continuous"/>
          <w:pgSz w:w="11906" w:h="16838"/>
          <w:pgMar w:top="1701" w:right="1077" w:bottom="1077" w:left="1077" w:header="709" w:footer="709" w:gutter="0"/>
          <w:cols w:space="708"/>
          <w:titlePg/>
          <w:docGrid w:linePitch="360"/>
        </w:sectPr>
      </w:pPr>
    </w:p>
    <w:p w14:paraId="516B34F9" w14:textId="7F71DEFC" w:rsidR="000D1454" w:rsidRPr="00EC33C6" w:rsidRDefault="000D1454" w:rsidP="00EA0107">
      <w:pPr>
        <w:spacing w:after="0" w:line="240" w:lineRule="auto"/>
        <w:jc w:val="both"/>
        <w:rPr>
          <w:rFonts w:ascii="Arial" w:hAnsi="Arial" w:cs="Arial"/>
          <w:sz w:val="24"/>
          <w:szCs w:val="24"/>
          <w:lang w:val="es-419"/>
        </w:rPr>
        <w:sectPr w:rsidR="000D1454" w:rsidRPr="00EC33C6" w:rsidSect="003F5D0E">
          <w:type w:val="continuous"/>
          <w:pgSz w:w="11906" w:h="16838"/>
          <w:pgMar w:top="1134" w:right="1077" w:bottom="1077" w:left="1077" w:header="709" w:footer="709" w:gutter="0"/>
          <w:cols w:space="708"/>
          <w:docGrid w:linePitch="360"/>
        </w:sectPr>
      </w:pPr>
    </w:p>
    <w:p w14:paraId="03FD3C9E" w14:textId="5ABDA05A" w:rsidR="00BE6C76" w:rsidRDefault="00EF7BFF" w:rsidP="00495049">
      <w:pPr>
        <w:spacing w:after="0" w:line="360" w:lineRule="auto"/>
        <w:rPr>
          <w:rFonts w:ascii="Arial" w:hAnsi="Arial" w:cs="Arial"/>
          <w:b/>
          <w:bCs/>
          <w:color w:val="2F5496" w:themeColor="accent1" w:themeShade="BF"/>
          <w:sz w:val="24"/>
          <w:szCs w:val="24"/>
          <w:lang w:val="en-US"/>
        </w:rPr>
      </w:pPr>
      <w:r w:rsidRPr="00EC33C6">
        <w:rPr>
          <w:rFonts w:ascii="Arial" w:hAnsi="Arial" w:cs="Arial"/>
          <w:b/>
          <w:bCs/>
          <w:color w:val="12B3B7"/>
          <w:sz w:val="24"/>
          <w:szCs w:val="24"/>
          <w:lang w:val="es-419"/>
        </w:rPr>
        <w:br w:type="page"/>
      </w:r>
      <w:r w:rsidR="00BE6C76" w:rsidRPr="00495049">
        <w:rPr>
          <w:rFonts w:ascii="Arial" w:hAnsi="Arial" w:cs="Arial"/>
          <w:b/>
          <w:bCs/>
          <w:color w:val="2F5496" w:themeColor="accent1" w:themeShade="BF"/>
          <w:sz w:val="24"/>
          <w:szCs w:val="24"/>
          <w:lang w:val="en-US"/>
        </w:rPr>
        <w:lastRenderedPageBreak/>
        <w:t xml:space="preserve">1 </w:t>
      </w:r>
      <w:r w:rsidR="00BE0424" w:rsidRPr="00495049">
        <w:rPr>
          <w:rFonts w:ascii="Arial" w:hAnsi="Arial" w:cs="Arial"/>
          <w:b/>
          <w:bCs/>
          <w:color w:val="2F5496" w:themeColor="accent1" w:themeShade="BF"/>
          <w:sz w:val="24"/>
          <w:szCs w:val="24"/>
          <w:lang w:val="en-US"/>
        </w:rPr>
        <w:t>INTRODUCTION</w:t>
      </w:r>
    </w:p>
    <w:p w14:paraId="6E5E28DE" w14:textId="77777777" w:rsidR="00495049" w:rsidRPr="00EC33C6" w:rsidRDefault="00495049" w:rsidP="00495049">
      <w:pPr>
        <w:widowControl w:val="0"/>
        <w:pBdr>
          <w:top w:val="nil"/>
          <w:left w:val="nil"/>
          <w:bottom w:val="nil"/>
          <w:right w:val="nil"/>
          <w:between w:val="nil"/>
        </w:pBdr>
        <w:spacing w:after="0" w:line="360" w:lineRule="auto"/>
        <w:ind w:firstLine="709"/>
        <w:jc w:val="both"/>
        <w:rPr>
          <w:rFonts w:ascii="Arial" w:hAnsi="Arial" w:cs="Arial"/>
          <w:color w:val="000000"/>
          <w:sz w:val="24"/>
          <w:szCs w:val="24"/>
          <w:lang w:val="en-US"/>
        </w:rPr>
      </w:pPr>
      <w:r w:rsidRPr="00EC33C6">
        <w:rPr>
          <w:rFonts w:ascii="Arial" w:hAnsi="Arial" w:cs="Arial"/>
          <w:color w:val="000000"/>
          <w:sz w:val="24"/>
          <w:szCs w:val="24"/>
          <w:lang w:val="en-US"/>
        </w:rPr>
        <w:t xml:space="preserve">The COVID-19 pandemic, which occurred between the end of 2019 and 2022, caused by the SARS-CoV-2 virus, represented an unprecedented milestone in the history of clinical immunology and medicine. More than a global health crisis, COVID-19 has proved to be an immunological event of great magnitude, capable of reshaping individual and collective immune responses. Since the first months of the pandemic, an unexpected increase in the incidence of autoimmune diseases has been observed in patients recovered from the infection. These clinical reports suggested that infection could function as a trigger for autoimmune diseases, both in previously healthy individuals and in those with latent autoimmunity (Abu-Rumeileh et al., 2020). </w:t>
      </w:r>
    </w:p>
    <w:p w14:paraId="2D52BD1E" w14:textId="77777777" w:rsidR="00495049" w:rsidRPr="00EC33C6" w:rsidRDefault="00495049" w:rsidP="00495049">
      <w:pPr>
        <w:widowControl w:val="0"/>
        <w:pBdr>
          <w:top w:val="nil"/>
          <w:left w:val="nil"/>
          <w:bottom w:val="nil"/>
          <w:right w:val="nil"/>
          <w:between w:val="nil"/>
        </w:pBdr>
        <w:spacing w:after="0" w:line="360" w:lineRule="auto"/>
        <w:ind w:firstLine="709"/>
        <w:jc w:val="both"/>
        <w:rPr>
          <w:rFonts w:ascii="Arial" w:hAnsi="Arial" w:cs="Arial"/>
          <w:color w:val="000000"/>
          <w:sz w:val="24"/>
          <w:szCs w:val="24"/>
          <w:lang w:val="en-US"/>
        </w:rPr>
      </w:pPr>
      <w:r w:rsidRPr="00EC33C6">
        <w:rPr>
          <w:rFonts w:ascii="Arial" w:hAnsi="Arial" w:cs="Arial"/>
          <w:color w:val="000000"/>
          <w:sz w:val="24"/>
          <w:szCs w:val="24"/>
          <w:lang w:val="en-US"/>
        </w:rPr>
        <w:t xml:space="preserve">This observation led to the hypothesis that SARS-CoV-2 acts not only as an infectious agent, but also as a modulator of immune tolerance, favoring the emergence of autoimmune phenotypes. SARS-CoV-2 infection represents a complex immunological event, capable of profoundly disrupting the immune system's defense and regulatory mechanisms (Vabret et al., 2020). </w:t>
      </w:r>
    </w:p>
    <w:p w14:paraId="5A2DF419" w14:textId="77777777" w:rsidR="00495049" w:rsidRPr="00EC33C6" w:rsidRDefault="00495049" w:rsidP="00495049">
      <w:pPr>
        <w:widowControl w:val="0"/>
        <w:pBdr>
          <w:top w:val="nil"/>
          <w:left w:val="nil"/>
          <w:bottom w:val="nil"/>
          <w:right w:val="nil"/>
          <w:between w:val="nil"/>
        </w:pBdr>
        <w:spacing w:after="0" w:line="360" w:lineRule="auto"/>
        <w:ind w:firstLine="709"/>
        <w:jc w:val="both"/>
        <w:rPr>
          <w:rFonts w:ascii="Arial" w:hAnsi="Arial" w:cs="Arial"/>
          <w:color w:val="000000"/>
          <w:sz w:val="24"/>
          <w:szCs w:val="24"/>
          <w:lang w:val="en-US"/>
        </w:rPr>
      </w:pPr>
      <w:r w:rsidRPr="00EC33C6">
        <w:rPr>
          <w:rFonts w:ascii="Arial" w:hAnsi="Arial" w:cs="Arial"/>
          <w:color w:val="000000"/>
          <w:sz w:val="24"/>
          <w:szCs w:val="24"/>
          <w:lang w:val="en-US"/>
        </w:rPr>
        <w:t xml:space="preserve">In this way, this new clinical frontier challenges the traditional paradigms of translational immunology, requiring a deeper understanding of the mechanisms involved and the implications for the diagnosis, treatment, and follow-up of patients in the post-pandemic scenario. </w:t>
      </w:r>
    </w:p>
    <w:p w14:paraId="2FFA58DF" w14:textId="77777777" w:rsidR="00495049" w:rsidRPr="00EC33C6" w:rsidRDefault="00495049" w:rsidP="00495049">
      <w:pPr>
        <w:widowControl w:val="0"/>
        <w:pBdr>
          <w:top w:val="nil"/>
          <w:left w:val="nil"/>
          <w:bottom w:val="nil"/>
          <w:right w:val="nil"/>
          <w:between w:val="nil"/>
        </w:pBdr>
        <w:spacing w:after="0" w:line="360" w:lineRule="auto"/>
        <w:ind w:firstLine="709"/>
        <w:jc w:val="both"/>
        <w:rPr>
          <w:rFonts w:ascii="Arial" w:hAnsi="Arial" w:cs="Arial"/>
          <w:color w:val="000000"/>
          <w:sz w:val="24"/>
          <w:szCs w:val="24"/>
          <w:lang w:val="en-US"/>
        </w:rPr>
      </w:pPr>
      <w:r w:rsidRPr="00EC33C6">
        <w:rPr>
          <w:rFonts w:ascii="Arial" w:hAnsi="Arial" w:cs="Arial"/>
          <w:color w:val="000000"/>
          <w:sz w:val="24"/>
          <w:szCs w:val="24"/>
          <w:lang w:val="en-US"/>
        </w:rPr>
        <w:t xml:space="preserve">Thus, the objective of this chapter is to discuss the main immunopathological mechanisms associated with COVID-19 that may favor the development of autoimmune diseases, present documented clinical evidence, analyze diagnostic and therapeutic challenges, and explore the future prospects of translational research in this emerging field. </w:t>
      </w:r>
    </w:p>
    <w:p w14:paraId="5CB6E972" w14:textId="77777777" w:rsidR="00495049" w:rsidRPr="00EC33C6" w:rsidRDefault="00495049" w:rsidP="00495049">
      <w:pPr>
        <w:widowControl w:val="0"/>
        <w:pBdr>
          <w:top w:val="nil"/>
          <w:left w:val="nil"/>
          <w:bottom w:val="nil"/>
          <w:right w:val="nil"/>
          <w:between w:val="nil"/>
        </w:pBdr>
        <w:spacing w:after="0" w:line="360" w:lineRule="auto"/>
        <w:rPr>
          <w:rFonts w:ascii="Arial" w:hAnsi="Arial" w:cs="Arial"/>
          <w:b/>
          <w:color w:val="000000"/>
          <w:sz w:val="24"/>
          <w:szCs w:val="24"/>
          <w:lang w:val="en-US"/>
        </w:rPr>
      </w:pPr>
    </w:p>
    <w:p w14:paraId="32302B2B" w14:textId="4AAEB2F2" w:rsidR="00495049" w:rsidRPr="00EC33C6" w:rsidRDefault="00495049" w:rsidP="00495049">
      <w:pPr>
        <w:widowControl w:val="0"/>
        <w:pBdr>
          <w:top w:val="nil"/>
          <w:left w:val="nil"/>
          <w:bottom w:val="nil"/>
          <w:right w:val="nil"/>
          <w:between w:val="nil"/>
        </w:pBdr>
        <w:spacing w:after="0" w:line="360" w:lineRule="auto"/>
        <w:rPr>
          <w:rFonts w:ascii="Arial" w:hAnsi="Arial" w:cs="Arial"/>
          <w:b/>
          <w:color w:val="2F5496"/>
          <w:sz w:val="24"/>
          <w:szCs w:val="24"/>
          <w:lang w:val="en-US"/>
        </w:rPr>
      </w:pPr>
      <w:r w:rsidRPr="00EC33C6">
        <w:rPr>
          <w:rFonts w:ascii="Arial" w:hAnsi="Arial" w:cs="Arial"/>
          <w:b/>
          <w:color w:val="2F5496"/>
          <w:sz w:val="24"/>
          <w:szCs w:val="24"/>
          <w:lang w:val="en-US"/>
        </w:rPr>
        <w:t xml:space="preserve">2 DISCUSSION </w:t>
      </w:r>
    </w:p>
    <w:p w14:paraId="7CF4E762" w14:textId="5BC213A4" w:rsidR="00495049" w:rsidRPr="00EC33C6" w:rsidRDefault="00495049" w:rsidP="00495049">
      <w:pPr>
        <w:widowControl w:val="0"/>
        <w:pBdr>
          <w:top w:val="nil"/>
          <w:left w:val="nil"/>
          <w:bottom w:val="nil"/>
          <w:right w:val="nil"/>
          <w:between w:val="nil"/>
        </w:pBdr>
        <w:spacing w:after="0" w:line="360" w:lineRule="auto"/>
        <w:rPr>
          <w:rFonts w:ascii="Arial" w:hAnsi="Arial" w:cs="Arial"/>
          <w:bCs/>
          <w:color w:val="2F5496"/>
          <w:sz w:val="24"/>
          <w:szCs w:val="24"/>
          <w:lang w:val="en-US"/>
        </w:rPr>
      </w:pPr>
      <w:r w:rsidRPr="00EC33C6">
        <w:rPr>
          <w:rFonts w:ascii="Arial" w:hAnsi="Arial" w:cs="Arial"/>
          <w:bCs/>
          <w:color w:val="2F5496"/>
          <w:sz w:val="24"/>
          <w:szCs w:val="24"/>
          <w:lang w:val="en-US"/>
        </w:rPr>
        <w:t xml:space="preserve">2.1 IMMUNOLOGICAL AND PATHOGENETIC MECHANISMS OF POST-COVID19 AUTOIMMUNITY </w:t>
      </w:r>
    </w:p>
    <w:p w14:paraId="5A5DA7D7" w14:textId="77777777" w:rsidR="00495049" w:rsidRPr="00EC33C6" w:rsidRDefault="00495049" w:rsidP="00495049">
      <w:pPr>
        <w:widowControl w:val="0"/>
        <w:pBdr>
          <w:top w:val="nil"/>
          <w:left w:val="nil"/>
          <w:bottom w:val="nil"/>
          <w:right w:val="nil"/>
          <w:between w:val="nil"/>
        </w:pBdr>
        <w:spacing w:after="0" w:line="360" w:lineRule="auto"/>
        <w:ind w:firstLine="709"/>
        <w:jc w:val="both"/>
        <w:rPr>
          <w:rFonts w:ascii="Arial" w:hAnsi="Arial" w:cs="Arial"/>
          <w:color w:val="000000"/>
          <w:sz w:val="24"/>
          <w:szCs w:val="24"/>
          <w:lang w:val="en-US"/>
        </w:rPr>
      </w:pPr>
      <w:r w:rsidRPr="00EC33C6">
        <w:rPr>
          <w:rFonts w:ascii="Arial" w:hAnsi="Arial" w:cs="Arial"/>
          <w:color w:val="000000"/>
          <w:sz w:val="24"/>
          <w:szCs w:val="24"/>
          <w:lang w:val="en-US"/>
        </w:rPr>
        <w:t xml:space="preserve">The complex interaction between SARS-CoV-2 and the human immune system has revealed multiple mechanisms capable of disrupting immune homeostasis and precipitating autoimmune responses. The viral infection, initially localized, can evolve into a systemic inflammatory state, characterized by dysregulated activation of immune cells, excessive cytokine production, and exposure of normally hidden self-antigens. One of the most discussed mechanisms is molecular mimicry, in which viral epitopes share structural similarity with human proteins, leading to the activation of autoreactive T and B lymphocytes. Studies conducted by Lucchese </w:t>
      </w:r>
      <w:r w:rsidRPr="00EC33C6">
        <w:rPr>
          <w:rFonts w:ascii="Arial" w:hAnsi="Arial" w:cs="Arial"/>
          <w:sz w:val="24"/>
          <w:szCs w:val="24"/>
          <w:lang w:val="en-US"/>
        </w:rPr>
        <w:t>and</w:t>
      </w:r>
      <w:r w:rsidRPr="00EC33C6">
        <w:rPr>
          <w:rFonts w:ascii="Arial" w:hAnsi="Arial" w:cs="Arial"/>
          <w:color w:val="000000"/>
          <w:sz w:val="24"/>
          <w:szCs w:val="24"/>
          <w:lang w:val="en-US"/>
        </w:rPr>
        <w:t xml:space="preserve"> Floel (2020) identified homology between SARS-CoV-2 proteins </w:t>
      </w:r>
      <w:r w:rsidRPr="00EC33C6">
        <w:rPr>
          <w:rFonts w:ascii="Arial" w:hAnsi="Arial" w:cs="Arial"/>
          <w:color w:val="000000"/>
          <w:sz w:val="24"/>
          <w:szCs w:val="24"/>
          <w:lang w:val="en-US"/>
        </w:rPr>
        <w:lastRenderedPageBreak/>
        <w:t xml:space="preserve">and antigens such as HSP60, tropomyosin, and annexin A2, implicated in diseases such as lupus, myopathies, and thyroiditis. </w:t>
      </w:r>
    </w:p>
    <w:p w14:paraId="55FCCC14" w14:textId="77777777" w:rsidR="00495049" w:rsidRPr="00EC33C6" w:rsidRDefault="00495049" w:rsidP="00495049">
      <w:pPr>
        <w:widowControl w:val="0"/>
        <w:pBdr>
          <w:top w:val="nil"/>
          <w:left w:val="nil"/>
          <w:bottom w:val="nil"/>
          <w:right w:val="nil"/>
          <w:between w:val="nil"/>
        </w:pBdr>
        <w:spacing w:after="0" w:line="360" w:lineRule="auto"/>
        <w:ind w:firstLine="709"/>
        <w:jc w:val="both"/>
        <w:rPr>
          <w:rFonts w:ascii="Arial" w:hAnsi="Arial" w:cs="Arial"/>
          <w:color w:val="000000"/>
          <w:sz w:val="24"/>
          <w:szCs w:val="24"/>
          <w:lang w:val="en-US"/>
        </w:rPr>
      </w:pPr>
      <w:r w:rsidRPr="00EC33C6">
        <w:rPr>
          <w:rFonts w:ascii="Arial" w:hAnsi="Arial" w:cs="Arial"/>
          <w:color w:val="000000"/>
          <w:sz w:val="24"/>
          <w:szCs w:val="24"/>
          <w:lang w:val="en-US"/>
        </w:rPr>
        <w:t>Transcriptomic studies reveal that SARS-CoV-2 induces increased expression of genes related to the NF-</w:t>
      </w:r>
      <w:r w:rsidRPr="00495049">
        <w:rPr>
          <w:rFonts w:ascii="Arial" w:hAnsi="Arial" w:cs="Arial"/>
          <w:color w:val="000000"/>
          <w:sz w:val="24"/>
          <w:szCs w:val="24"/>
        </w:rPr>
        <w:t>κ</w:t>
      </w:r>
      <w:r w:rsidRPr="00EC33C6">
        <w:rPr>
          <w:rFonts w:ascii="Arial" w:hAnsi="Arial" w:cs="Arial"/>
          <w:color w:val="000000"/>
          <w:sz w:val="24"/>
          <w:szCs w:val="24"/>
          <w:lang w:val="en-US"/>
        </w:rPr>
        <w:t>B pathway, type I interferon signaling, and activation of plasmacytoid dendritic cells. This hyperactivation compromises immune homeostasis and favors the breakdown of peripheral tolerance (Vabret et al., 2020). In addition, there is a functional reduction of regulatory T cells (Tregs), an increase in exhausted CD8+ T cells (progressive loss of their operational capacity due to their prolonged exposure to antigens), and expansion of autoreactive B cell clones (Woodruff et al., 2021). This dysregulation contributes to the production of autoantibodies and the emergence of autoimmune phenotypes. Functional reprogramming of T and B cells after viral infection can generate persistent self-reactive clones with an inflammatory memory profile. Reduction of regulatory T cells (Tregs), increase of exhausted T cells, and expansion of autoreactive plasma cells are consistent findings in immunophenotypic studies of post-COVID patients (Woodruff et al., 2021). (</w:t>
      </w:r>
      <w:r w:rsidRPr="00EC33C6">
        <w:rPr>
          <w:rFonts w:ascii="Arial" w:hAnsi="Arial" w:cs="Arial"/>
          <w:b/>
          <w:color w:val="000000"/>
          <w:sz w:val="24"/>
          <w:szCs w:val="24"/>
          <w:lang w:val="en-US"/>
        </w:rPr>
        <w:t>Figure 1</w:t>
      </w:r>
      <w:r w:rsidRPr="00EC33C6">
        <w:rPr>
          <w:rFonts w:ascii="Arial" w:hAnsi="Arial" w:cs="Arial"/>
          <w:color w:val="000000"/>
          <w:sz w:val="24"/>
          <w:szCs w:val="24"/>
          <w:lang w:val="en-US"/>
        </w:rPr>
        <w:t xml:space="preserve">) </w:t>
      </w:r>
    </w:p>
    <w:p w14:paraId="5E2E0776" w14:textId="77777777" w:rsidR="00495049" w:rsidRPr="00EC33C6" w:rsidRDefault="00495049" w:rsidP="00495049">
      <w:pPr>
        <w:widowControl w:val="0"/>
        <w:pBdr>
          <w:top w:val="nil"/>
          <w:left w:val="nil"/>
          <w:bottom w:val="nil"/>
          <w:right w:val="nil"/>
          <w:between w:val="nil"/>
        </w:pBdr>
        <w:spacing w:after="0" w:line="360" w:lineRule="auto"/>
        <w:ind w:firstLine="709"/>
        <w:jc w:val="both"/>
        <w:rPr>
          <w:rFonts w:ascii="Arial" w:hAnsi="Arial" w:cs="Arial"/>
          <w:color w:val="000000"/>
          <w:sz w:val="24"/>
          <w:szCs w:val="24"/>
          <w:lang w:val="en-US"/>
        </w:rPr>
      </w:pPr>
      <w:r w:rsidRPr="00EC33C6">
        <w:rPr>
          <w:rFonts w:ascii="Arial" w:hAnsi="Arial" w:cs="Arial"/>
          <w:color w:val="000000"/>
          <w:sz w:val="24"/>
          <w:szCs w:val="24"/>
          <w:lang w:val="en-US"/>
        </w:rPr>
        <w:t>In patients with a severe evolution, a disproportionate systemic inflammatory response was observed, characterized by activation of monocytes, neutrophils, and T lymphocytes, in addition to the massive release of pro-inflammatory cytokines, a phenomenon known as cytokine storm (Bastard et al., 2020; Zuo et al., 2020). The production of autoantibodies against essential cytokines, such as type I interferons, represents a particularly relevant finding. In addition, these studies identified neutralizing autoantibodies against IFN-</w:t>
      </w:r>
      <w:r w:rsidRPr="00495049">
        <w:rPr>
          <w:rFonts w:ascii="Arial" w:hAnsi="Arial" w:cs="Arial"/>
          <w:color w:val="000000"/>
          <w:sz w:val="24"/>
          <w:szCs w:val="24"/>
        </w:rPr>
        <w:t>α</w:t>
      </w:r>
      <w:r w:rsidRPr="00EC33C6">
        <w:rPr>
          <w:rFonts w:ascii="Arial" w:hAnsi="Arial" w:cs="Arial"/>
          <w:color w:val="000000"/>
          <w:sz w:val="24"/>
          <w:szCs w:val="24"/>
          <w:lang w:val="en-US"/>
        </w:rPr>
        <w:t xml:space="preserve"> and IFN-</w:t>
      </w:r>
      <w:r w:rsidRPr="00495049">
        <w:rPr>
          <w:rFonts w:ascii="Arial" w:hAnsi="Arial" w:cs="Arial"/>
          <w:color w:val="000000"/>
          <w:sz w:val="24"/>
          <w:szCs w:val="24"/>
        </w:rPr>
        <w:t>β</w:t>
      </w:r>
      <w:r w:rsidRPr="00EC33C6">
        <w:rPr>
          <w:rFonts w:ascii="Arial" w:hAnsi="Arial" w:cs="Arial"/>
          <w:color w:val="000000"/>
          <w:sz w:val="24"/>
          <w:szCs w:val="24"/>
          <w:lang w:val="en-US"/>
        </w:rPr>
        <w:t xml:space="preserve"> in patients with severe COVID-19, compromising the antiviral response and favoring the evolution to autoimmune forms. These autoantibodies were also associated with a higher risk of death and manifestations such as antiphospholipid syndrome (APS) and systemic lupus erythematosus (SLE) (Bastard et al., 2020) </w:t>
      </w:r>
    </w:p>
    <w:p w14:paraId="26E11ECC" w14:textId="77777777" w:rsidR="00495049" w:rsidRPr="00EC33C6" w:rsidRDefault="00495049" w:rsidP="00495049">
      <w:pPr>
        <w:widowControl w:val="0"/>
        <w:pBdr>
          <w:top w:val="nil"/>
          <w:left w:val="nil"/>
          <w:bottom w:val="nil"/>
          <w:right w:val="nil"/>
          <w:between w:val="nil"/>
        </w:pBdr>
        <w:spacing w:after="0" w:line="360" w:lineRule="auto"/>
        <w:ind w:firstLine="709"/>
        <w:jc w:val="both"/>
        <w:rPr>
          <w:rFonts w:ascii="Arial" w:hAnsi="Arial" w:cs="Arial"/>
          <w:color w:val="000000"/>
          <w:sz w:val="24"/>
          <w:szCs w:val="24"/>
          <w:lang w:val="en-US"/>
        </w:rPr>
      </w:pPr>
      <w:r w:rsidRPr="00EC33C6">
        <w:rPr>
          <w:rFonts w:ascii="Arial" w:hAnsi="Arial" w:cs="Arial"/>
          <w:color w:val="000000"/>
          <w:sz w:val="24"/>
          <w:szCs w:val="24"/>
          <w:lang w:val="en-US"/>
        </w:rPr>
        <w:t xml:space="preserve">Another relevant mechanism is </w:t>
      </w:r>
      <w:r w:rsidRPr="00EC33C6">
        <w:rPr>
          <w:rFonts w:ascii="Arial" w:hAnsi="Arial" w:cs="Arial"/>
          <w:i/>
          <w:iCs/>
          <w:color w:val="000000"/>
          <w:sz w:val="24"/>
          <w:szCs w:val="24"/>
          <w:lang w:val="en-US"/>
        </w:rPr>
        <w:t>bystander activation</w:t>
      </w:r>
      <w:r w:rsidRPr="00EC33C6">
        <w:rPr>
          <w:rFonts w:ascii="Arial" w:hAnsi="Arial" w:cs="Arial"/>
          <w:color w:val="000000"/>
          <w:sz w:val="24"/>
          <w:szCs w:val="24"/>
          <w:lang w:val="en-US"/>
        </w:rPr>
        <w:t>, in which intense and non-specific inflammation leads to the activation of previously anergic autoreactive cells, especially in tissues with direct viral damage. The formation of NETs (</w:t>
      </w:r>
      <w:r w:rsidRPr="00EC33C6">
        <w:rPr>
          <w:rFonts w:ascii="Arial" w:hAnsi="Arial" w:cs="Arial"/>
          <w:i/>
          <w:iCs/>
          <w:color w:val="000000"/>
          <w:sz w:val="24"/>
          <w:szCs w:val="24"/>
          <w:lang w:val="en-US"/>
        </w:rPr>
        <w:t>neutrophil extracellular traps</w:t>
      </w:r>
      <w:r w:rsidRPr="00EC33C6">
        <w:rPr>
          <w:rFonts w:ascii="Arial" w:hAnsi="Arial" w:cs="Arial"/>
          <w:color w:val="000000"/>
          <w:sz w:val="24"/>
          <w:szCs w:val="24"/>
          <w:lang w:val="en-US"/>
        </w:rPr>
        <w:t>) also plays a central role: these structures, released by activated neutrophils, trap pathogens, but also expose DNA, histones, and nuclear proteins to the immune system, favoring the production of autoantibodies. Zuo et al., (2020) demonstrated elevated levels of NETs in patients with severe COVID-19, correlating with autoimmunity markers such as ANA and anti-DNA. (</w:t>
      </w:r>
      <w:r w:rsidRPr="00EC33C6">
        <w:rPr>
          <w:rFonts w:ascii="Arial" w:hAnsi="Arial" w:cs="Arial"/>
          <w:b/>
          <w:color w:val="000000"/>
          <w:sz w:val="24"/>
          <w:szCs w:val="24"/>
          <w:lang w:val="en-US"/>
        </w:rPr>
        <w:t>Figure 1</w:t>
      </w:r>
      <w:r w:rsidRPr="00EC33C6">
        <w:rPr>
          <w:rFonts w:ascii="Arial" w:hAnsi="Arial" w:cs="Arial"/>
          <w:color w:val="000000"/>
          <w:sz w:val="24"/>
          <w:szCs w:val="24"/>
          <w:lang w:val="en-US"/>
        </w:rPr>
        <w:t xml:space="preserve">) </w:t>
      </w:r>
    </w:p>
    <w:p w14:paraId="2567454A" w14:textId="77777777" w:rsidR="00495049" w:rsidRPr="00EC33C6" w:rsidRDefault="00495049" w:rsidP="00495049">
      <w:pPr>
        <w:widowControl w:val="0"/>
        <w:pBdr>
          <w:top w:val="nil"/>
          <w:left w:val="nil"/>
          <w:bottom w:val="nil"/>
          <w:right w:val="nil"/>
          <w:between w:val="nil"/>
        </w:pBdr>
        <w:spacing w:after="0" w:line="360" w:lineRule="auto"/>
        <w:ind w:firstLine="709"/>
        <w:jc w:val="both"/>
        <w:rPr>
          <w:rFonts w:ascii="Arial" w:hAnsi="Arial" w:cs="Arial"/>
          <w:color w:val="000000"/>
          <w:sz w:val="24"/>
          <w:szCs w:val="24"/>
          <w:lang w:val="en-US"/>
        </w:rPr>
      </w:pPr>
      <w:r w:rsidRPr="00EC33C6">
        <w:rPr>
          <w:rFonts w:ascii="Arial" w:hAnsi="Arial" w:cs="Arial"/>
          <w:color w:val="000000"/>
          <w:sz w:val="24"/>
          <w:szCs w:val="24"/>
          <w:lang w:val="en-US"/>
        </w:rPr>
        <w:t xml:space="preserve">Finally, and not least, we have the dysbiosis of the intestinal and lung microbiota, which stands out as another factor that contributes to the breakdown of immune tolerance. The </w:t>
      </w:r>
      <w:r w:rsidRPr="00EC33C6">
        <w:rPr>
          <w:rFonts w:ascii="Arial" w:hAnsi="Arial" w:cs="Arial"/>
          <w:color w:val="000000"/>
          <w:sz w:val="24"/>
          <w:szCs w:val="24"/>
          <w:lang w:val="en-US"/>
        </w:rPr>
        <w:lastRenderedPageBreak/>
        <w:t xml:space="preserve">change in microbial composition induced by viral infection can favor bacterial translocation, activation of Th17 cells, and perpetuation of the inflammatory response (Zuo et al., 2020). In addition, there is evidence that SARS-CoV-2 can induce epigenetic modifications in immune cells, such as methylation of regulatory gene promoters and histone acetylation at inflammatory loci, perpetuating activation even after the infection resolves (Vabret et al., 2020). </w:t>
      </w:r>
    </w:p>
    <w:p w14:paraId="05D9DECF" w14:textId="77777777" w:rsidR="00495049" w:rsidRPr="00EC33C6" w:rsidRDefault="00495049" w:rsidP="00495049">
      <w:pPr>
        <w:widowControl w:val="0"/>
        <w:pBdr>
          <w:top w:val="nil"/>
          <w:left w:val="nil"/>
          <w:bottom w:val="nil"/>
          <w:right w:val="nil"/>
          <w:between w:val="nil"/>
        </w:pBdr>
        <w:spacing w:after="0" w:line="360" w:lineRule="auto"/>
        <w:ind w:firstLine="709"/>
        <w:jc w:val="both"/>
        <w:rPr>
          <w:rFonts w:ascii="Arial" w:hAnsi="Arial" w:cs="Arial"/>
          <w:color w:val="000000"/>
          <w:sz w:val="24"/>
          <w:szCs w:val="24"/>
          <w:lang w:val="en-US"/>
        </w:rPr>
      </w:pPr>
      <w:r w:rsidRPr="00EC33C6">
        <w:rPr>
          <w:rFonts w:ascii="Arial" w:hAnsi="Arial" w:cs="Arial"/>
          <w:color w:val="000000"/>
          <w:sz w:val="24"/>
          <w:szCs w:val="24"/>
          <w:lang w:val="en-US"/>
        </w:rPr>
        <w:t xml:space="preserve">Thus, these mechanisms, although distinct, converge to a scenario of deep immune dysregulation, capable of precipitating or amplifying autoimmune diseases in multiple organs and systems. Understanding these processes is critical for the development of targeted therapeutic strategies, risk biomarkers, and immune surveillance protocols in post-COVID populations. </w:t>
      </w:r>
    </w:p>
    <w:p w14:paraId="72F05971" w14:textId="77777777" w:rsidR="00495049" w:rsidRPr="00EC33C6" w:rsidRDefault="00495049" w:rsidP="00495049">
      <w:pPr>
        <w:widowControl w:val="0"/>
        <w:pBdr>
          <w:top w:val="nil"/>
          <w:left w:val="nil"/>
          <w:bottom w:val="nil"/>
          <w:right w:val="nil"/>
          <w:between w:val="nil"/>
        </w:pBdr>
        <w:spacing w:after="0" w:line="360" w:lineRule="auto"/>
        <w:rPr>
          <w:rFonts w:ascii="Arial" w:hAnsi="Arial" w:cs="Arial"/>
          <w:b/>
          <w:color w:val="000000"/>
          <w:sz w:val="24"/>
          <w:szCs w:val="24"/>
          <w:lang w:val="en-US"/>
        </w:rPr>
      </w:pPr>
    </w:p>
    <w:p w14:paraId="5B58CDB9" w14:textId="4C7656E4" w:rsidR="00495049" w:rsidRPr="00EC33C6" w:rsidRDefault="00495049" w:rsidP="00495049">
      <w:pPr>
        <w:widowControl w:val="0"/>
        <w:pBdr>
          <w:top w:val="nil"/>
          <w:left w:val="nil"/>
          <w:bottom w:val="nil"/>
          <w:right w:val="nil"/>
          <w:between w:val="nil"/>
        </w:pBdr>
        <w:spacing w:after="0" w:line="360" w:lineRule="auto"/>
        <w:rPr>
          <w:rFonts w:ascii="Arial" w:hAnsi="Arial" w:cs="Arial"/>
          <w:bCs/>
          <w:color w:val="2F5496"/>
          <w:sz w:val="24"/>
          <w:szCs w:val="24"/>
          <w:lang w:val="en-US"/>
        </w:rPr>
      </w:pPr>
      <w:r w:rsidRPr="00EC33C6">
        <w:rPr>
          <w:rFonts w:ascii="Arial" w:hAnsi="Arial" w:cs="Arial"/>
          <w:bCs/>
          <w:color w:val="2F5496"/>
          <w:sz w:val="24"/>
          <w:szCs w:val="24"/>
          <w:lang w:val="en-US"/>
        </w:rPr>
        <w:t xml:space="preserve">2.2 EVIDENCE OF POST-COVID AUTOANTIBODIES </w:t>
      </w:r>
    </w:p>
    <w:p w14:paraId="78D91BC7" w14:textId="77777777" w:rsidR="00495049" w:rsidRPr="00EC33C6" w:rsidRDefault="00495049" w:rsidP="00495049">
      <w:pPr>
        <w:widowControl w:val="0"/>
        <w:pBdr>
          <w:top w:val="nil"/>
          <w:left w:val="nil"/>
          <w:bottom w:val="nil"/>
          <w:right w:val="nil"/>
          <w:between w:val="nil"/>
        </w:pBdr>
        <w:spacing w:after="0" w:line="360" w:lineRule="auto"/>
        <w:ind w:firstLine="709"/>
        <w:jc w:val="both"/>
        <w:rPr>
          <w:rFonts w:ascii="Arial" w:hAnsi="Arial" w:cs="Arial"/>
          <w:color w:val="000000"/>
          <w:sz w:val="24"/>
          <w:szCs w:val="24"/>
          <w:lang w:val="en-US"/>
        </w:rPr>
      </w:pPr>
      <w:r w:rsidRPr="00EC33C6">
        <w:rPr>
          <w:rFonts w:ascii="Arial" w:hAnsi="Arial" w:cs="Arial"/>
          <w:color w:val="000000"/>
          <w:sz w:val="24"/>
          <w:szCs w:val="24"/>
          <w:lang w:val="en-US"/>
        </w:rPr>
        <w:t xml:space="preserve">Several studies have shown that patients infected with SARS-CoV-2, even after resolution of the acute phase of the disease, may have circulating autoantibodies, some of which are classically associated with well-established autoimmune diseases. This production of autoantibodies can occur both in previously healthy individuals and in patients with a history of autoimmunity, reinforcing the hypothesis that viral infection can act as an immune trigger (Woodruff et al., 2021). </w:t>
      </w:r>
    </w:p>
    <w:p w14:paraId="3C0B9EE0" w14:textId="77777777" w:rsidR="00495049" w:rsidRPr="00EC33C6" w:rsidRDefault="00495049" w:rsidP="00495049">
      <w:pPr>
        <w:widowControl w:val="0"/>
        <w:pBdr>
          <w:top w:val="nil"/>
          <w:left w:val="nil"/>
          <w:bottom w:val="nil"/>
          <w:right w:val="nil"/>
          <w:between w:val="nil"/>
        </w:pBdr>
        <w:spacing w:after="0" w:line="360" w:lineRule="auto"/>
        <w:ind w:firstLine="709"/>
        <w:rPr>
          <w:rFonts w:ascii="Arial" w:hAnsi="Arial" w:cs="Arial"/>
          <w:color w:val="000000"/>
          <w:sz w:val="24"/>
          <w:szCs w:val="24"/>
          <w:lang w:val="en-US"/>
        </w:rPr>
      </w:pPr>
      <w:r w:rsidRPr="00EC33C6">
        <w:rPr>
          <w:rFonts w:ascii="Arial" w:hAnsi="Arial" w:cs="Arial"/>
          <w:color w:val="000000"/>
          <w:sz w:val="24"/>
          <w:szCs w:val="24"/>
          <w:lang w:val="en-US"/>
        </w:rPr>
        <w:t>Among the most frequently detected autoantibodies are (</w:t>
      </w:r>
      <w:r w:rsidRPr="00EC33C6">
        <w:rPr>
          <w:rFonts w:ascii="Arial" w:hAnsi="Arial" w:cs="Arial"/>
          <w:b/>
          <w:color w:val="000000"/>
          <w:sz w:val="24"/>
          <w:szCs w:val="24"/>
          <w:lang w:val="en-US"/>
        </w:rPr>
        <w:t>Figure 1</w:t>
      </w:r>
      <w:r w:rsidRPr="00EC33C6">
        <w:rPr>
          <w:rFonts w:ascii="Arial" w:hAnsi="Arial" w:cs="Arial"/>
          <w:color w:val="000000"/>
          <w:sz w:val="24"/>
          <w:szCs w:val="24"/>
          <w:lang w:val="en-US"/>
        </w:rPr>
        <w:t xml:space="preserve">): </w:t>
      </w:r>
    </w:p>
    <w:p w14:paraId="24DABB56" w14:textId="77777777" w:rsidR="00495049" w:rsidRPr="00EC33C6" w:rsidRDefault="00495049" w:rsidP="00495049">
      <w:pPr>
        <w:widowControl w:val="0"/>
        <w:pBdr>
          <w:top w:val="nil"/>
          <w:left w:val="nil"/>
          <w:bottom w:val="nil"/>
          <w:right w:val="nil"/>
          <w:between w:val="nil"/>
        </w:pBdr>
        <w:spacing w:after="0" w:line="360" w:lineRule="auto"/>
        <w:ind w:left="709" w:hanging="283"/>
        <w:jc w:val="both"/>
        <w:rPr>
          <w:rFonts w:ascii="Arial" w:hAnsi="Arial" w:cs="Arial"/>
          <w:color w:val="000000"/>
          <w:sz w:val="24"/>
          <w:szCs w:val="24"/>
          <w:lang w:val="en-US"/>
        </w:rPr>
      </w:pPr>
      <w:r w:rsidRPr="00EC33C6">
        <w:rPr>
          <w:rFonts w:ascii="Arial" w:hAnsi="Arial" w:cs="Arial"/>
          <w:color w:val="000000"/>
          <w:sz w:val="24"/>
          <w:szCs w:val="24"/>
          <w:lang w:val="en-US"/>
        </w:rPr>
        <w:t xml:space="preserve">1. </w:t>
      </w:r>
      <w:r w:rsidRPr="00EC33C6">
        <w:rPr>
          <w:rFonts w:ascii="Arial" w:hAnsi="Arial" w:cs="Arial"/>
          <w:b/>
          <w:color w:val="000000"/>
          <w:sz w:val="24"/>
          <w:szCs w:val="24"/>
          <w:lang w:val="en-US"/>
        </w:rPr>
        <w:t xml:space="preserve">Antinuclear antibodies (ANA) - </w:t>
      </w:r>
      <w:r w:rsidRPr="00EC33C6">
        <w:rPr>
          <w:rFonts w:ascii="Arial" w:hAnsi="Arial" w:cs="Arial"/>
          <w:color w:val="000000"/>
          <w:sz w:val="24"/>
          <w:szCs w:val="24"/>
          <w:lang w:val="en-US"/>
        </w:rPr>
        <w:t xml:space="preserve">Studies such as those by Gomes et al., (2021) and Bastard et al., (2020) point out that between 35% and 50% of post-COVID patients are positive for ANA, even without a previous diagnosis of systemic lupus erythematosus. This positivity is associated with symptoms such as chronic fatigue, arthralgias, and skin rash, configuring lupus-like conditions. </w:t>
      </w:r>
    </w:p>
    <w:p w14:paraId="7651A26A" w14:textId="77777777" w:rsidR="00495049" w:rsidRPr="00EC33C6" w:rsidRDefault="00495049" w:rsidP="00495049">
      <w:pPr>
        <w:widowControl w:val="0"/>
        <w:pBdr>
          <w:top w:val="nil"/>
          <w:left w:val="nil"/>
          <w:bottom w:val="nil"/>
          <w:right w:val="nil"/>
          <w:between w:val="nil"/>
        </w:pBdr>
        <w:spacing w:after="0" w:line="360" w:lineRule="auto"/>
        <w:ind w:left="709" w:hanging="283"/>
        <w:jc w:val="both"/>
        <w:rPr>
          <w:rFonts w:ascii="Arial" w:hAnsi="Arial" w:cs="Arial"/>
          <w:color w:val="000000"/>
          <w:sz w:val="24"/>
          <w:szCs w:val="24"/>
          <w:lang w:val="en-US"/>
        </w:rPr>
      </w:pPr>
      <w:r w:rsidRPr="00EC33C6">
        <w:rPr>
          <w:rFonts w:ascii="Arial" w:hAnsi="Arial" w:cs="Arial"/>
          <w:color w:val="000000"/>
          <w:sz w:val="24"/>
          <w:szCs w:val="24"/>
          <w:lang w:val="en-US"/>
        </w:rPr>
        <w:t xml:space="preserve">2. </w:t>
      </w:r>
      <w:r w:rsidRPr="00EC33C6">
        <w:rPr>
          <w:rFonts w:ascii="Arial" w:hAnsi="Arial" w:cs="Arial"/>
          <w:b/>
          <w:color w:val="000000"/>
          <w:sz w:val="24"/>
          <w:szCs w:val="24"/>
          <w:lang w:val="en-US"/>
        </w:rPr>
        <w:t>Anti-DNA antibodies</w:t>
      </w:r>
      <w:r w:rsidRPr="00EC33C6">
        <w:rPr>
          <w:rFonts w:ascii="Arial" w:hAnsi="Arial" w:cs="Arial"/>
          <w:color w:val="000000"/>
          <w:sz w:val="24"/>
          <w:szCs w:val="24"/>
          <w:lang w:val="en-US"/>
        </w:rPr>
        <w:t xml:space="preserve">: Detected in approximately 15% to 20% of COVID-19 patients, these autoantibodies are classic markers of SLE and have been associated with cases of lupus nephritis and cutaneous vasculitis in post-COVID patients. </w:t>
      </w:r>
    </w:p>
    <w:p w14:paraId="34D0A3FC" w14:textId="77777777" w:rsidR="00495049" w:rsidRPr="00EC33C6" w:rsidRDefault="00495049" w:rsidP="00495049">
      <w:pPr>
        <w:widowControl w:val="0"/>
        <w:pBdr>
          <w:top w:val="nil"/>
          <w:left w:val="nil"/>
          <w:bottom w:val="nil"/>
          <w:right w:val="nil"/>
          <w:between w:val="nil"/>
        </w:pBdr>
        <w:spacing w:after="0" w:line="360" w:lineRule="auto"/>
        <w:ind w:left="709" w:hanging="283"/>
        <w:jc w:val="both"/>
        <w:rPr>
          <w:rFonts w:ascii="Arial" w:hAnsi="Arial" w:cs="Arial"/>
          <w:color w:val="000000"/>
          <w:sz w:val="24"/>
          <w:szCs w:val="24"/>
          <w:lang w:val="en-US"/>
        </w:rPr>
      </w:pPr>
      <w:r w:rsidRPr="00EC33C6">
        <w:rPr>
          <w:rFonts w:ascii="Arial" w:hAnsi="Arial" w:cs="Arial"/>
          <w:color w:val="000000"/>
          <w:sz w:val="24"/>
          <w:szCs w:val="24"/>
          <w:lang w:val="en-US"/>
        </w:rPr>
        <w:t xml:space="preserve">3. </w:t>
      </w:r>
      <w:r w:rsidRPr="00EC33C6">
        <w:rPr>
          <w:rFonts w:ascii="Arial" w:hAnsi="Arial" w:cs="Arial"/>
          <w:b/>
          <w:color w:val="000000"/>
          <w:sz w:val="24"/>
          <w:szCs w:val="24"/>
          <w:lang w:val="en-US"/>
        </w:rPr>
        <w:t>Anti-GAD (glutamic acid decarboxylase) antibodies</w:t>
      </w:r>
      <w:r w:rsidRPr="00EC33C6">
        <w:rPr>
          <w:rFonts w:ascii="Arial" w:hAnsi="Arial" w:cs="Arial"/>
          <w:color w:val="000000"/>
          <w:sz w:val="24"/>
          <w:szCs w:val="24"/>
          <w:lang w:val="en-US"/>
        </w:rPr>
        <w:t>: Present in about 10% to 12% of patients who developed type 1 diabetes after infection, these autoantibodies indicate autoimmune destruction of pancreatic beta cells. Marchand et al., (2022) documented cases of diabetic ketoacidosis in young patients with no family history, with positivity for anti-GAD and anti-IA2.</w:t>
      </w:r>
    </w:p>
    <w:p w14:paraId="432FCE8B" w14:textId="77777777" w:rsidR="00495049" w:rsidRPr="00EC33C6" w:rsidRDefault="00495049" w:rsidP="00495049">
      <w:pPr>
        <w:widowControl w:val="0"/>
        <w:pBdr>
          <w:top w:val="nil"/>
          <w:left w:val="nil"/>
          <w:bottom w:val="nil"/>
          <w:right w:val="nil"/>
          <w:between w:val="nil"/>
        </w:pBdr>
        <w:spacing w:after="0" w:line="360" w:lineRule="auto"/>
        <w:ind w:left="709" w:hanging="283"/>
        <w:jc w:val="both"/>
        <w:rPr>
          <w:rFonts w:ascii="Arial" w:hAnsi="Arial" w:cs="Arial"/>
          <w:color w:val="000000"/>
          <w:sz w:val="24"/>
          <w:szCs w:val="24"/>
          <w:lang w:val="en-US"/>
        </w:rPr>
      </w:pPr>
      <w:r w:rsidRPr="00EC33C6">
        <w:rPr>
          <w:rFonts w:ascii="Arial" w:hAnsi="Arial" w:cs="Arial"/>
          <w:color w:val="000000"/>
          <w:sz w:val="24"/>
          <w:szCs w:val="24"/>
          <w:lang w:val="en-US"/>
        </w:rPr>
        <w:t xml:space="preserve">4. </w:t>
      </w:r>
      <w:r w:rsidRPr="00EC33C6">
        <w:rPr>
          <w:rFonts w:ascii="Arial" w:hAnsi="Arial" w:cs="Arial"/>
          <w:b/>
          <w:color w:val="000000"/>
          <w:sz w:val="24"/>
          <w:szCs w:val="24"/>
          <w:lang w:val="en-US"/>
        </w:rPr>
        <w:t>Anti-TPO (thyroid peroxidase) antibodies</w:t>
      </w:r>
      <w:r w:rsidRPr="00EC33C6">
        <w:rPr>
          <w:rFonts w:ascii="Arial" w:hAnsi="Arial" w:cs="Arial"/>
          <w:color w:val="000000"/>
          <w:sz w:val="24"/>
          <w:szCs w:val="24"/>
          <w:lang w:val="en-US"/>
        </w:rPr>
        <w:t xml:space="preserve">: Found in up to 30% of patients with post-COVID thyroid dysfunction, these autoantibodies are typical of Hashimoto's disease. </w:t>
      </w:r>
      <w:r w:rsidRPr="00EC33C6">
        <w:rPr>
          <w:rFonts w:ascii="Arial" w:hAnsi="Arial" w:cs="Arial"/>
          <w:color w:val="000000"/>
          <w:sz w:val="24"/>
          <w:szCs w:val="24"/>
          <w:lang w:val="en-US"/>
        </w:rPr>
        <w:lastRenderedPageBreak/>
        <w:t xml:space="preserve">Muller et al., (2020) reported subacute thyroiditis with severe neck pain, transient hyperthyroidism, and subsequent progression to autoimmune hypothyroidism. </w:t>
      </w:r>
    </w:p>
    <w:p w14:paraId="1C1375BA" w14:textId="77777777" w:rsidR="00495049" w:rsidRPr="00EC33C6" w:rsidRDefault="00495049" w:rsidP="00495049">
      <w:pPr>
        <w:widowControl w:val="0"/>
        <w:pBdr>
          <w:top w:val="nil"/>
          <w:left w:val="nil"/>
          <w:bottom w:val="nil"/>
          <w:right w:val="nil"/>
          <w:between w:val="nil"/>
        </w:pBdr>
        <w:spacing w:after="0" w:line="360" w:lineRule="auto"/>
        <w:ind w:left="709" w:hanging="283"/>
        <w:jc w:val="both"/>
        <w:rPr>
          <w:rFonts w:ascii="Arial" w:hAnsi="Arial" w:cs="Arial"/>
          <w:color w:val="000000"/>
          <w:sz w:val="24"/>
          <w:szCs w:val="24"/>
          <w:lang w:val="en-US"/>
        </w:rPr>
      </w:pPr>
      <w:r w:rsidRPr="00EC33C6">
        <w:rPr>
          <w:rFonts w:ascii="Arial" w:hAnsi="Arial" w:cs="Arial"/>
          <w:color w:val="000000"/>
          <w:sz w:val="24"/>
          <w:szCs w:val="24"/>
          <w:lang w:val="en-US"/>
        </w:rPr>
        <w:t xml:space="preserve">5. </w:t>
      </w:r>
      <w:r w:rsidRPr="00EC33C6">
        <w:rPr>
          <w:rFonts w:ascii="Arial" w:hAnsi="Arial" w:cs="Arial"/>
          <w:b/>
          <w:color w:val="000000"/>
          <w:sz w:val="24"/>
          <w:szCs w:val="24"/>
          <w:lang w:val="en-US"/>
        </w:rPr>
        <w:t xml:space="preserve">Antineutrophil cytoplasmic antibodies (ANCA): </w:t>
      </w:r>
      <w:r w:rsidRPr="00EC33C6">
        <w:rPr>
          <w:rFonts w:ascii="Arial" w:hAnsi="Arial" w:cs="Arial"/>
          <w:color w:val="000000"/>
          <w:sz w:val="24"/>
          <w:szCs w:val="24"/>
          <w:lang w:val="en-US"/>
        </w:rPr>
        <w:t xml:space="preserve">Although less frequent, with a prevalence between 5% and 8%, ANCA have been associated with cases of renal and pulmonary vasculitis in post-COVID patients. Chen et al., (2023) describe conditions compatible with granulomatosis with polyangiitis and Churg-Strauss syndrome, with multisystem involvement. </w:t>
      </w:r>
    </w:p>
    <w:p w14:paraId="31982222" w14:textId="77777777" w:rsidR="00495049" w:rsidRPr="00EC33C6" w:rsidRDefault="00495049" w:rsidP="00495049">
      <w:pPr>
        <w:widowControl w:val="0"/>
        <w:pBdr>
          <w:top w:val="nil"/>
          <w:left w:val="nil"/>
          <w:bottom w:val="nil"/>
          <w:right w:val="nil"/>
          <w:between w:val="nil"/>
        </w:pBdr>
        <w:spacing w:after="0" w:line="360" w:lineRule="auto"/>
        <w:ind w:left="709" w:hanging="283"/>
        <w:jc w:val="both"/>
        <w:rPr>
          <w:rFonts w:ascii="Arial" w:hAnsi="Arial" w:cs="Arial"/>
          <w:color w:val="000000"/>
          <w:sz w:val="24"/>
          <w:szCs w:val="24"/>
          <w:lang w:val="en-US"/>
        </w:rPr>
      </w:pPr>
      <w:r w:rsidRPr="00EC33C6">
        <w:rPr>
          <w:rFonts w:ascii="Arial" w:hAnsi="Arial" w:cs="Arial"/>
          <w:color w:val="000000"/>
          <w:sz w:val="24"/>
          <w:szCs w:val="24"/>
          <w:lang w:val="en-US"/>
        </w:rPr>
        <w:t xml:space="preserve">6. </w:t>
      </w:r>
      <w:r w:rsidRPr="00EC33C6">
        <w:rPr>
          <w:rFonts w:ascii="Arial" w:hAnsi="Arial" w:cs="Arial"/>
          <w:b/>
          <w:color w:val="000000"/>
          <w:sz w:val="24"/>
          <w:szCs w:val="24"/>
          <w:lang w:val="en-US"/>
        </w:rPr>
        <w:t>Autoantibodies against type I interferons</w:t>
      </w:r>
      <w:r w:rsidRPr="00EC33C6">
        <w:rPr>
          <w:rFonts w:ascii="Arial" w:hAnsi="Arial" w:cs="Arial"/>
          <w:color w:val="000000"/>
          <w:sz w:val="24"/>
          <w:szCs w:val="24"/>
          <w:lang w:val="en-US"/>
        </w:rPr>
        <w:t xml:space="preserve">: Bastard et al., (2020) identified these autoantibodies in about 10% to 15% of patients with severe COVID-19. They neutralize the action of interferons </w:t>
      </w:r>
      <w:r w:rsidRPr="00495049">
        <w:rPr>
          <w:rFonts w:ascii="Arial" w:hAnsi="Arial" w:cs="Arial"/>
          <w:color w:val="000000"/>
          <w:sz w:val="24"/>
          <w:szCs w:val="24"/>
        </w:rPr>
        <w:t>α</w:t>
      </w:r>
      <w:r w:rsidRPr="00EC33C6">
        <w:rPr>
          <w:rFonts w:ascii="Arial" w:hAnsi="Arial" w:cs="Arial"/>
          <w:color w:val="000000"/>
          <w:sz w:val="24"/>
          <w:szCs w:val="24"/>
          <w:lang w:val="en-US"/>
        </w:rPr>
        <w:t xml:space="preserve"> and </w:t>
      </w:r>
      <w:r w:rsidRPr="00495049">
        <w:rPr>
          <w:rFonts w:ascii="Arial" w:hAnsi="Arial" w:cs="Arial"/>
          <w:color w:val="000000"/>
          <w:sz w:val="24"/>
          <w:szCs w:val="24"/>
        </w:rPr>
        <w:t>β</w:t>
      </w:r>
      <w:r w:rsidRPr="00EC33C6">
        <w:rPr>
          <w:rFonts w:ascii="Arial" w:hAnsi="Arial" w:cs="Arial"/>
          <w:color w:val="000000"/>
          <w:sz w:val="24"/>
          <w:szCs w:val="24"/>
          <w:lang w:val="en-US"/>
        </w:rPr>
        <w:t xml:space="preserve">, compromising the antiviral response and favoring the evolution to severe forms of the disease. In addition, these autoantibodies have been associated with a higher risk of developing systemic autoimmune diseases. </w:t>
      </w:r>
    </w:p>
    <w:p w14:paraId="346249B8" w14:textId="77777777" w:rsidR="00495049" w:rsidRPr="00EC33C6" w:rsidRDefault="00495049" w:rsidP="00495049">
      <w:pPr>
        <w:widowControl w:val="0"/>
        <w:pBdr>
          <w:top w:val="nil"/>
          <w:left w:val="nil"/>
          <w:bottom w:val="nil"/>
          <w:right w:val="nil"/>
          <w:between w:val="nil"/>
        </w:pBdr>
        <w:spacing w:after="0" w:line="360" w:lineRule="auto"/>
        <w:ind w:firstLine="709"/>
        <w:jc w:val="both"/>
        <w:rPr>
          <w:rFonts w:ascii="Arial" w:hAnsi="Arial" w:cs="Arial"/>
          <w:color w:val="000000"/>
          <w:sz w:val="24"/>
          <w:szCs w:val="24"/>
          <w:lang w:val="en-US"/>
        </w:rPr>
      </w:pPr>
      <w:r w:rsidRPr="00EC33C6">
        <w:rPr>
          <w:rFonts w:ascii="Arial" w:hAnsi="Arial" w:cs="Arial"/>
          <w:color w:val="000000"/>
          <w:sz w:val="24"/>
          <w:szCs w:val="24"/>
          <w:lang w:val="en-US"/>
        </w:rPr>
        <w:t xml:space="preserve">These findings reinforce the hypothesis that COVID-19 can induce a sustained autoimmune response, even after the viral infection resolves. The presence of autoantibodies in asymptomatic patients or those with mild symptoms suggests that immune screening should be considered in at-risk populations, especially those with a family history of autoimmunity or with persistent post-COVID symptoms. </w:t>
      </w:r>
    </w:p>
    <w:p w14:paraId="34FF97FB" w14:textId="77777777" w:rsidR="00495049" w:rsidRPr="00EC33C6" w:rsidRDefault="00495049" w:rsidP="00495049">
      <w:pPr>
        <w:widowControl w:val="0"/>
        <w:pBdr>
          <w:top w:val="nil"/>
          <w:left w:val="nil"/>
          <w:bottom w:val="nil"/>
          <w:right w:val="nil"/>
          <w:between w:val="nil"/>
        </w:pBdr>
        <w:spacing w:after="0" w:line="360" w:lineRule="auto"/>
        <w:rPr>
          <w:rFonts w:ascii="Arial" w:hAnsi="Arial" w:cs="Arial"/>
          <w:bCs/>
          <w:color w:val="2F5496"/>
          <w:sz w:val="24"/>
          <w:szCs w:val="24"/>
          <w:lang w:val="en-US"/>
        </w:rPr>
      </w:pPr>
    </w:p>
    <w:p w14:paraId="39B2E9BE" w14:textId="139ACEE3" w:rsidR="00495049" w:rsidRPr="00EC33C6" w:rsidRDefault="00495049" w:rsidP="00495049">
      <w:pPr>
        <w:widowControl w:val="0"/>
        <w:pBdr>
          <w:top w:val="nil"/>
          <w:left w:val="nil"/>
          <w:bottom w:val="nil"/>
          <w:right w:val="nil"/>
          <w:between w:val="nil"/>
        </w:pBdr>
        <w:spacing w:after="0" w:line="360" w:lineRule="auto"/>
        <w:rPr>
          <w:rFonts w:ascii="Arial" w:hAnsi="Arial" w:cs="Arial"/>
          <w:bCs/>
          <w:color w:val="2F5496"/>
          <w:sz w:val="24"/>
          <w:szCs w:val="24"/>
          <w:lang w:val="en-US"/>
        </w:rPr>
      </w:pPr>
      <w:r w:rsidRPr="00EC33C6">
        <w:rPr>
          <w:rFonts w:ascii="Arial" w:hAnsi="Arial" w:cs="Arial"/>
          <w:bCs/>
          <w:color w:val="2F5496"/>
          <w:sz w:val="24"/>
          <w:szCs w:val="24"/>
          <w:lang w:val="en-US"/>
        </w:rPr>
        <w:t xml:space="preserve">2.3 AUTOIMMUNE DISEASES ASSOCIATED WITH POST-COVID-19 </w:t>
      </w:r>
    </w:p>
    <w:p w14:paraId="1FBDE5F5" w14:textId="77777777" w:rsidR="00495049" w:rsidRPr="00EC33C6" w:rsidRDefault="00495049" w:rsidP="00495049">
      <w:pPr>
        <w:widowControl w:val="0"/>
        <w:pBdr>
          <w:top w:val="nil"/>
          <w:left w:val="nil"/>
          <w:bottom w:val="nil"/>
          <w:right w:val="nil"/>
          <w:between w:val="nil"/>
        </w:pBdr>
        <w:spacing w:after="0" w:line="360" w:lineRule="auto"/>
        <w:ind w:firstLine="709"/>
        <w:jc w:val="both"/>
        <w:rPr>
          <w:rFonts w:ascii="Arial" w:hAnsi="Arial" w:cs="Arial"/>
          <w:color w:val="000000"/>
          <w:sz w:val="24"/>
          <w:szCs w:val="24"/>
          <w:lang w:val="en-US"/>
        </w:rPr>
      </w:pPr>
      <w:r w:rsidRPr="00EC33C6">
        <w:rPr>
          <w:rFonts w:ascii="Arial" w:hAnsi="Arial" w:cs="Arial"/>
          <w:color w:val="000000"/>
          <w:sz w:val="24"/>
          <w:szCs w:val="24"/>
          <w:lang w:val="en-US"/>
        </w:rPr>
        <w:t xml:space="preserve">Numerous studies have suggested that SARS-CoV-2 infection may be associated with a wide range of autoimmune manifestations, ranging from acute neurological syndromes to endocrine, rheumatological, and hematological diseases (Silva et al., 2020). Next, each condition will be explored in depth, considering clinical, immunopathological, laboratory, therapeutic, and prognostic aspects (Marchand et al., 2022). </w:t>
      </w:r>
    </w:p>
    <w:p w14:paraId="532BA9DD" w14:textId="77777777" w:rsidR="00495049" w:rsidRPr="00EC33C6" w:rsidRDefault="00495049" w:rsidP="00495049">
      <w:pPr>
        <w:widowControl w:val="0"/>
        <w:pBdr>
          <w:top w:val="nil"/>
          <w:left w:val="nil"/>
          <w:bottom w:val="nil"/>
          <w:right w:val="nil"/>
          <w:between w:val="nil"/>
        </w:pBdr>
        <w:spacing w:after="0" w:line="360" w:lineRule="auto"/>
        <w:ind w:firstLine="709"/>
        <w:jc w:val="both"/>
        <w:rPr>
          <w:rFonts w:ascii="Arial" w:hAnsi="Arial" w:cs="Arial"/>
          <w:color w:val="000000"/>
          <w:sz w:val="24"/>
          <w:szCs w:val="24"/>
          <w:lang w:val="en-US"/>
        </w:rPr>
      </w:pPr>
      <w:r w:rsidRPr="00EC33C6">
        <w:rPr>
          <w:rFonts w:ascii="Arial" w:hAnsi="Arial" w:cs="Arial"/>
          <w:b/>
          <w:color w:val="000000"/>
          <w:sz w:val="24"/>
          <w:szCs w:val="24"/>
          <w:lang w:val="en-US"/>
        </w:rPr>
        <w:t xml:space="preserve">Guillain-Barré syndrome (GBS) </w:t>
      </w:r>
    </w:p>
    <w:p w14:paraId="4D207686" w14:textId="77777777" w:rsidR="00495049" w:rsidRPr="00EC33C6" w:rsidRDefault="00495049" w:rsidP="00495049">
      <w:pPr>
        <w:widowControl w:val="0"/>
        <w:pBdr>
          <w:top w:val="nil"/>
          <w:left w:val="nil"/>
          <w:bottom w:val="nil"/>
          <w:right w:val="nil"/>
          <w:between w:val="nil"/>
        </w:pBdr>
        <w:spacing w:after="0" w:line="360" w:lineRule="auto"/>
        <w:ind w:firstLine="709"/>
        <w:jc w:val="both"/>
        <w:rPr>
          <w:rFonts w:ascii="Arial" w:hAnsi="Arial" w:cs="Arial"/>
          <w:color w:val="000000"/>
          <w:sz w:val="24"/>
          <w:szCs w:val="24"/>
          <w:lang w:val="en-US"/>
        </w:rPr>
      </w:pPr>
      <w:r w:rsidRPr="00EC33C6">
        <w:rPr>
          <w:rFonts w:ascii="Arial" w:hAnsi="Arial" w:cs="Arial"/>
          <w:color w:val="000000"/>
          <w:sz w:val="24"/>
          <w:szCs w:val="24"/>
          <w:lang w:val="en-US"/>
        </w:rPr>
        <w:t xml:space="preserve">Guillain-Barré syndrome (GBS) is an acute polyradiculoneuropathy, usually triggered by viral or bacterial infections, such as </w:t>
      </w:r>
      <w:r w:rsidRPr="00EC33C6">
        <w:rPr>
          <w:rFonts w:ascii="Arial" w:hAnsi="Arial" w:cs="Arial"/>
          <w:i/>
          <w:color w:val="000000"/>
          <w:sz w:val="24"/>
          <w:szCs w:val="24"/>
          <w:lang w:val="en-US"/>
        </w:rPr>
        <w:t>Campylobacter jejuni</w:t>
      </w:r>
      <w:r w:rsidRPr="00EC33C6">
        <w:rPr>
          <w:rFonts w:ascii="Arial" w:hAnsi="Arial" w:cs="Arial"/>
          <w:color w:val="000000"/>
          <w:sz w:val="24"/>
          <w:szCs w:val="24"/>
          <w:lang w:val="en-US"/>
        </w:rPr>
        <w:t xml:space="preserve">, Zika virus, and Chikungunya, and more recently, SARS-CoV-2 (Silva et al., 2020; Finsterer et al., 2021). </w:t>
      </w:r>
    </w:p>
    <w:p w14:paraId="716FDA74" w14:textId="77777777" w:rsidR="00495049" w:rsidRPr="00EC33C6" w:rsidRDefault="00495049" w:rsidP="00495049">
      <w:pPr>
        <w:widowControl w:val="0"/>
        <w:pBdr>
          <w:top w:val="nil"/>
          <w:left w:val="nil"/>
          <w:bottom w:val="nil"/>
          <w:right w:val="nil"/>
          <w:between w:val="nil"/>
        </w:pBdr>
        <w:spacing w:after="0" w:line="360" w:lineRule="auto"/>
        <w:ind w:firstLine="709"/>
        <w:jc w:val="both"/>
        <w:rPr>
          <w:rFonts w:ascii="Arial" w:hAnsi="Arial" w:cs="Arial"/>
          <w:color w:val="000000"/>
          <w:sz w:val="24"/>
          <w:szCs w:val="24"/>
          <w:lang w:val="en-US"/>
        </w:rPr>
      </w:pPr>
      <w:r w:rsidRPr="00EC33C6">
        <w:rPr>
          <w:rFonts w:ascii="Arial" w:hAnsi="Arial" w:cs="Arial"/>
          <w:color w:val="000000"/>
          <w:sz w:val="24"/>
          <w:szCs w:val="24"/>
          <w:lang w:val="en-US"/>
        </w:rPr>
        <w:t xml:space="preserve">This syndrome is characterized by ascending muscle weakness, areflexia, paresthesias and, in severe cases, respiratory failure. Since the beginning of the pandemic, GBS has been one of the best-documented autoimmune manifestations in the post-COVID context (Camerino et al., 2024). During the first six months of the pandemic, Abu-Rumeileh et al., (2020) identified 42 cases of GBS associated with COVID-19, with geographic distribution in 13 countries. The mean time between respiratory and neurological symptoms was 11.5 days, suggesting an immediate post-infectious mechanism. The most common form </w:t>
      </w:r>
      <w:r w:rsidRPr="00EC33C6">
        <w:rPr>
          <w:rFonts w:ascii="Arial" w:hAnsi="Arial" w:cs="Arial"/>
          <w:color w:val="000000"/>
          <w:sz w:val="24"/>
          <w:szCs w:val="24"/>
          <w:lang w:val="en-US"/>
        </w:rPr>
        <w:lastRenderedPageBreak/>
        <w:t xml:space="preserve">was the classic demyelinating, although axonal variants have also been described. </w:t>
      </w:r>
    </w:p>
    <w:p w14:paraId="6B1C83EE" w14:textId="77777777" w:rsidR="00495049" w:rsidRPr="00EC33C6" w:rsidRDefault="00495049" w:rsidP="00495049">
      <w:pPr>
        <w:widowControl w:val="0"/>
        <w:pBdr>
          <w:top w:val="nil"/>
          <w:left w:val="nil"/>
          <w:bottom w:val="nil"/>
          <w:right w:val="nil"/>
          <w:between w:val="nil"/>
        </w:pBdr>
        <w:spacing w:after="0" w:line="360" w:lineRule="auto"/>
        <w:ind w:firstLine="709"/>
        <w:jc w:val="both"/>
        <w:rPr>
          <w:rFonts w:ascii="Arial" w:hAnsi="Arial" w:cs="Arial"/>
          <w:color w:val="000000"/>
          <w:sz w:val="24"/>
          <w:szCs w:val="24"/>
          <w:lang w:val="en-US"/>
        </w:rPr>
      </w:pPr>
      <w:r w:rsidRPr="00EC33C6">
        <w:rPr>
          <w:rFonts w:ascii="Arial" w:hAnsi="Arial" w:cs="Arial"/>
          <w:color w:val="000000"/>
          <w:sz w:val="24"/>
          <w:szCs w:val="24"/>
          <w:lang w:val="en-US"/>
        </w:rPr>
        <w:t xml:space="preserve">It is noteworthy that these cases course with absence of pleocytosis in the cerebrospinal fluid with negativity of the Polymerase Chain Reaction (PCR) for SARS-CoV-2, reinforcing the autoimmune character of the syndrome. Interestingly, most patients did not have anti-ganglioside antibodies, which suggests an alternative mechanism of immune activation, possibly related to molecular mimicry between viral proteins and peripheral myelin components. In addition, mechanisms such as bystander activation, formation of NETs, and regulatory T cell dysfunction have also been implicated, as discussed by Abu-Rumeileh et al., (2020), Finsterer et al., (2021), and Woodruff et al., (2021). </w:t>
      </w:r>
    </w:p>
    <w:p w14:paraId="3FFE41F7" w14:textId="77777777" w:rsidR="00495049" w:rsidRPr="00EC33C6" w:rsidRDefault="00495049" w:rsidP="00495049">
      <w:pPr>
        <w:widowControl w:val="0"/>
        <w:pBdr>
          <w:top w:val="nil"/>
          <w:left w:val="nil"/>
          <w:bottom w:val="nil"/>
          <w:right w:val="nil"/>
          <w:between w:val="nil"/>
        </w:pBdr>
        <w:spacing w:after="0" w:line="360" w:lineRule="auto"/>
        <w:ind w:firstLine="709"/>
        <w:jc w:val="both"/>
        <w:rPr>
          <w:rFonts w:ascii="Arial" w:hAnsi="Arial" w:cs="Arial"/>
          <w:color w:val="000000"/>
          <w:sz w:val="24"/>
          <w:szCs w:val="24"/>
          <w:lang w:val="en-US"/>
        </w:rPr>
      </w:pPr>
      <w:r w:rsidRPr="00EC33C6">
        <w:rPr>
          <w:rFonts w:ascii="Arial" w:hAnsi="Arial" w:cs="Arial"/>
          <w:color w:val="000000"/>
          <w:sz w:val="24"/>
          <w:szCs w:val="24"/>
          <w:lang w:val="en-US"/>
        </w:rPr>
        <w:t xml:space="preserve">Among the different clinical reports available in the literature of post-COVID-19 GBS, we have that of a previously healthy 32-year-old male patient who presented with paresthesias in the lower limbs, ascending weakness, and difficulty walking 12 days after resolution of mild COVID-19 symptoms. Neurological examination revealed patellar and aquilean areflexia, as well as reduced muscle strength in a symmetrical pattern. Lumbar puncture showed albuminocytological dissociation, with increased proteins in the cerebrospinal fluid without pleocytosis. The PCR for SARS-CoV-2 in the cerebrospinal fluid was negative, and no anti-ganglioside antibodies were detected. Electroneuromyography confirmed demyelinating polyradiculoneuropathy. This case reinforces the post-infectious temporal pattern of GBS associated with COVID-19 and the absence of classic markers in many patients, suggesting alternative immunological mechanisms (Afonso et al., 2021; Camerino et al., 2024). </w:t>
      </w:r>
    </w:p>
    <w:p w14:paraId="183567FD" w14:textId="77777777" w:rsidR="00495049" w:rsidRPr="00EC33C6" w:rsidRDefault="00495049" w:rsidP="00495049">
      <w:pPr>
        <w:widowControl w:val="0"/>
        <w:pBdr>
          <w:top w:val="nil"/>
          <w:left w:val="nil"/>
          <w:bottom w:val="nil"/>
          <w:right w:val="nil"/>
          <w:between w:val="nil"/>
        </w:pBdr>
        <w:spacing w:after="0" w:line="360" w:lineRule="auto"/>
        <w:ind w:firstLine="709"/>
        <w:jc w:val="both"/>
        <w:rPr>
          <w:rFonts w:ascii="Arial" w:hAnsi="Arial" w:cs="Arial"/>
          <w:color w:val="000000"/>
          <w:sz w:val="24"/>
          <w:szCs w:val="24"/>
          <w:lang w:val="en-US"/>
        </w:rPr>
      </w:pPr>
      <w:r w:rsidRPr="00EC33C6">
        <w:rPr>
          <w:rFonts w:ascii="Arial" w:hAnsi="Arial" w:cs="Arial"/>
          <w:color w:val="000000"/>
          <w:sz w:val="24"/>
          <w:szCs w:val="24"/>
          <w:lang w:val="en-US"/>
        </w:rPr>
        <w:t xml:space="preserve">The recommended standard treatment includes intravenous immunoglobulin (IVIG) and plasmapheresis, with variable clinical response. In some cases, there was a need for ventilatory support and prolonged rehabilitation. The clinical course tends to be favorable, but there is a risk of permanent neurological sequelae, especially in patients with axonal forms, as reported by Abu-Rumeileh et al., (2020) and Finsterer et al., (2021). Studies such as those by Finsterer et al., (2021) reinforce the association between COVID-19 and GBS, highlighting the importance of neurological screening in post-infectious patients, even in the absence of severe respiratory symptoms, and suggest that clinical surveillance should be expanded to include subacute neurological manifestations in previously healthy individuals. </w:t>
      </w:r>
    </w:p>
    <w:p w14:paraId="4C06FE9F" w14:textId="77777777" w:rsidR="00495049" w:rsidRPr="00EC33C6" w:rsidRDefault="00495049" w:rsidP="00495049">
      <w:pPr>
        <w:widowControl w:val="0"/>
        <w:pBdr>
          <w:top w:val="nil"/>
          <w:left w:val="nil"/>
          <w:bottom w:val="nil"/>
          <w:right w:val="nil"/>
          <w:between w:val="nil"/>
        </w:pBdr>
        <w:spacing w:after="0" w:line="360" w:lineRule="auto"/>
        <w:ind w:firstLine="709"/>
        <w:jc w:val="both"/>
        <w:rPr>
          <w:rFonts w:ascii="Arial" w:hAnsi="Arial" w:cs="Arial"/>
          <w:color w:val="000000"/>
          <w:sz w:val="24"/>
          <w:szCs w:val="24"/>
          <w:lang w:val="en-US"/>
        </w:rPr>
      </w:pPr>
      <w:r w:rsidRPr="00EC33C6">
        <w:rPr>
          <w:rFonts w:ascii="Arial" w:hAnsi="Arial" w:cs="Arial"/>
          <w:b/>
          <w:color w:val="000000"/>
          <w:sz w:val="24"/>
          <w:szCs w:val="24"/>
          <w:lang w:val="en-US"/>
        </w:rPr>
        <w:t xml:space="preserve">Systemic Lupus Erythematosus (SLE) and Lupus-like Conditions </w:t>
      </w:r>
    </w:p>
    <w:p w14:paraId="4362FE2A" w14:textId="77777777" w:rsidR="00495049" w:rsidRPr="00EC33C6" w:rsidRDefault="00495049" w:rsidP="00495049">
      <w:pPr>
        <w:widowControl w:val="0"/>
        <w:pBdr>
          <w:top w:val="nil"/>
          <w:left w:val="nil"/>
          <w:bottom w:val="nil"/>
          <w:right w:val="nil"/>
          <w:between w:val="nil"/>
        </w:pBdr>
        <w:spacing w:after="0" w:line="360" w:lineRule="auto"/>
        <w:ind w:firstLine="709"/>
        <w:jc w:val="both"/>
        <w:rPr>
          <w:rFonts w:ascii="Arial" w:hAnsi="Arial" w:cs="Arial"/>
          <w:color w:val="000000"/>
          <w:sz w:val="24"/>
          <w:szCs w:val="24"/>
          <w:lang w:val="en-US"/>
        </w:rPr>
      </w:pPr>
      <w:r w:rsidRPr="00EC33C6">
        <w:rPr>
          <w:rFonts w:ascii="Arial" w:hAnsi="Arial" w:cs="Arial"/>
          <w:color w:val="000000"/>
          <w:sz w:val="24"/>
          <w:szCs w:val="24"/>
          <w:lang w:val="en-US"/>
        </w:rPr>
        <w:t>Systemic Lupus Erythematosus (SLE) is a complex systemic autoimmune disease characterized by the production of autoantibodies against nuclear components, activation of complement pathways, and multisystem inflammation that can affect the skin, joints, kidneys, central nervous system, and hematopoiesis. Since the beginning of the pandemic, SARS-</w:t>
      </w:r>
      <w:r w:rsidRPr="00EC33C6">
        <w:rPr>
          <w:rFonts w:ascii="Arial" w:hAnsi="Arial" w:cs="Arial"/>
          <w:color w:val="000000"/>
          <w:sz w:val="24"/>
          <w:szCs w:val="24"/>
          <w:lang w:val="en-US"/>
        </w:rPr>
        <w:lastRenderedPageBreak/>
        <w:t xml:space="preserve">CoV-2 infection has been associated with the emergence of lupus-like conditions, especially in young women, with symptoms such as migratory arthralgias, malar rash, photosensitivity, persistent fever, and chronic fatigue (Gomes et al., 2021). Studies by Gomes et al., (2021) and Bastard et al., (2020) documented a significant increase in autoantibodies such as ANA, anti-DNA, anti-Ro/SSA, and anti-La/SSB in post-COVID patients, even in the absence of a previous diagnosis of SLE, suggesting that viral infection may precipitate the breakdown of immune tolerance in predisposed individuals. From an immunopathological point of view, the activation of autoreactive B cells, the dysfunction of regulatory T cells (Tregs), and the increase in pro-inflammatory cytokines of the Th17 lineage, such as IL-17 and IL-21, create an environment conducive to systemic autoimmunity. In addition, Bastard et al., (2020) identified neutralizing autoantibodies against type I interferons in patients with severe COVID-19, which compromises the antiviral response and favors the persistence of inflammation, contributing to the development of autoimmune phenotypes. </w:t>
      </w:r>
    </w:p>
    <w:p w14:paraId="47BD7A62" w14:textId="77777777" w:rsidR="00495049" w:rsidRPr="00EC33C6" w:rsidRDefault="00495049" w:rsidP="00495049">
      <w:pPr>
        <w:widowControl w:val="0"/>
        <w:pBdr>
          <w:top w:val="nil"/>
          <w:left w:val="nil"/>
          <w:bottom w:val="nil"/>
          <w:right w:val="nil"/>
          <w:between w:val="nil"/>
        </w:pBdr>
        <w:spacing w:after="0" w:line="360" w:lineRule="auto"/>
        <w:ind w:firstLine="709"/>
        <w:jc w:val="both"/>
        <w:rPr>
          <w:rFonts w:ascii="Arial" w:hAnsi="Arial" w:cs="Arial"/>
          <w:color w:val="000000"/>
          <w:sz w:val="24"/>
          <w:szCs w:val="24"/>
          <w:lang w:val="en-US"/>
        </w:rPr>
      </w:pPr>
      <w:r w:rsidRPr="00EC33C6">
        <w:rPr>
          <w:rFonts w:ascii="Arial" w:hAnsi="Arial" w:cs="Arial"/>
          <w:color w:val="000000"/>
          <w:sz w:val="24"/>
          <w:szCs w:val="24"/>
          <w:lang w:val="en-US"/>
        </w:rPr>
        <w:t>Clinical cases described include lupus nephritis with proteinuria and RBC casts, pericarditis with pleuritic chest pain and effusion, as well as autoimmune thrombocytopenia with hemorrhagic risk, and in some patients positivity for antiphospholipid antibodies was observed, raising the hypothesis of overlap with secondary antiphospholipid syndrome (APS). One of these reported clinical cases evidenced the case of a 28-year-old woman, with no history of autoimmune diseases, who sought care three weeks after mild SARS-CoV-2 infection, with complaints of migratory arthralgias, malar rash, photosensitivity, and afternoon fever. Laboratory tests revealed positivity for ANA (1:640, homogeneous pattern), anti-DNA, anti-Ro/SSA, and hypocomplementemia (low C3 and C4). Renal function was preserved, but there was leukopenia and mild thrombocytopenia. The patient was diagnosed with post-COVID lupus-like syndrome with significant clinical improvement within four weeks. However, outpatient follow-up revealed persistence of autoantibodies after three months, raising the possibility of progression to classic SLE. This report illustrates how COVID-19 can precipitate systemic autoimmune conditions even after mild infections, especially in young women (Gomes et al., 2021). (</w:t>
      </w:r>
      <w:r w:rsidRPr="00EC33C6">
        <w:rPr>
          <w:rFonts w:ascii="Arial" w:hAnsi="Arial" w:cs="Arial"/>
          <w:b/>
          <w:color w:val="000000"/>
          <w:sz w:val="24"/>
          <w:szCs w:val="24"/>
          <w:lang w:val="en-US"/>
        </w:rPr>
        <w:t>Figure 1</w:t>
      </w:r>
      <w:r w:rsidRPr="00EC33C6">
        <w:rPr>
          <w:rFonts w:ascii="Arial" w:hAnsi="Arial" w:cs="Arial"/>
          <w:color w:val="000000"/>
          <w:sz w:val="24"/>
          <w:szCs w:val="24"/>
          <w:lang w:val="en-US"/>
        </w:rPr>
        <w:t xml:space="preserve">) </w:t>
      </w:r>
    </w:p>
    <w:p w14:paraId="4B0CD55F" w14:textId="77777777" w:rsidR="00495049" w:rsidRPr="00EC33C6" w:rsidRDefault="00495049" w:rsidP="00495049">
      <w:pPr>
        <w:widowControl w:val="0"/>
        <w:pBdr>
          <w:top w:val="nil"/>
          <w:left w:val="nil"/>
          <w:bottom w:val="nil"/>
          <w:right w:val="nil"/>
          <w:between w:val="nil"/>
        </w:pBdr>
        <w:spacing w:after="0" w:line="360" w:lineRule="auto"/>
        <w:ind w:firstLine="709"/>
        <w:jc w:val="both"/>
        <w:rPr>
          <w:rFonts w:ascii="Arial" w:hAnsi="Arial" w:cs="Arial"/>
          <w:color w:val="000000"/>
          <w:sz w:val="24"/>
          <w:szCs w:val="24"/>
          <w:lang w:val="en-US"/>
        </w:rPr>
      </w:pPr>
      <w:r w:rsidRPr="00EC33C6">
        <w:rPr>
          <w:rFonts w:ascii="Arial" w:hAnsi="Arial" w:cs="Arial"/>
          <w:color w:val="000000"/>
          <w:sz w:val="24"/>
          <w:szCs w:val="24"/>
          <w:lang w:val="en-US"/>
        </w:rPr>
        <w:t>The treatment of these patients has followed classic protocols for SLE, with the use of systemic corticosteroids, antimalarials such as hydroxychloroquine, and immunosuppressants such as mycophenolate mofetil or azathioprine, and in refractory cases or with severe involvement, biologics such as belimumab or rituximab have been successfully employed. The clinical evolution is variable: while some patients present spontaneous resolution of symptoms and negative autoantibodies, others evolve to classic SLE, requiring continuous rheumatological follow-up. The presence of autoantibodies in asymptomatic post-</w:t>
      </w:r>
      <w:r w:rsidRPr="00EC33C6">
        <w:rPr>
          <w:rFonts w:ascii="Arial" w:hAnsi="Arial" w:cs="Arial"/>
          <w:color w:val="000000"/>
          <w:sz w:val="24"/>
          <w:szCs w:val="24"/>
          <w:lang w:val="en-US"/>
        </w:rPr>
        <w:lastRenderedPageBreak/>
        <w:t xml:space="preserve">COVID patients, especially young women, reinforces the importance of immunological screening in at-risk populations, even in the absence of evident clinical manifestations, as early identification can allow therapeutic interventions that prevent systemic complications and chronicity of the disease (Gomes et al., 2021; Bastard et al., 2020). </w:t>
      </w:r>
    </w:p>
    <w:p w14:paraId="46627A33" w14:textId="77777777" w:rsidR="00495049" w:rsidRPr="00EC33C6" w:rsidRDefault="00495049" w:rsidP="00495049">
      <w:pPr>
        <w:widowControl w:val="0"/>
        <w:pBdr>
          <w:top w:val="nil"/>
          <w:left w:val="nil"/>
          <w:bottom w:val="nil"/>
          <w:right w:val="nil"/>
          <w:between w:val="nil"/>
        </w:pBdr>
        <w:spacing w:after="0" w:line="360" w:lineRule="auto"/>
        <w:ind w:firstLine="709"/>
        <w:rPr>
          <w:rFonts w:ascii="Arial" w:hAnsi="Arial" w:cs="Arial"/>
          <w:b/>
          <w:color w:val="000000"/>
          <w:sz w:val="24"/>
          <w:szCs w:val="24"/>
          <w:lang w:val="en-US"/>
        </w:rPr>
      </w:pPr>
      <w:r w:rsidRPr="00EC33C6">
        <w:rPr>
          <w:rFonts w:ascii="Arial" w:hAnsi="Arial" w:cs="Arial"/>
          <w:b/>
          <w:color w:val="000000"/>
          <w:sz w:val="24"/>
          <w:szCs w:val="24"/>
          <w:lang w:val="en-US"/>
        </w:rPr>
        <w:t xml:space="preserve">Rheumatoid Arthritis and Seronegative Arthritis </w:t>
      </w:r>
    </w:p>
    <w:p w14:paraId="4AF6C474" w14:textId="77777777" w:rsidR="00495049" w:rsidRPr="00EC33C6" w:rsidRDefault="00495049" w:rsidP="00495049">
      <w:pPr>
        <w:widowControl w:val="0"/>
        <w:pBdr>
          <w:top w:val="nil"/>
          <w:left w:val="nil"/>
          <w:bottom w:val="nil"/>
          <w:right w:val="nil"/>
          <w:between w:val="nil"/>
        </w:pBdr>
        <w:spacing w:after="0" w:line="360" w:lineRule="auto"/>
        <w:ind w:firstLine="709"/>
        <w:jc w:val="both"/>
        <w:rPr>
          <w:rFonts w:ascii="Arial" w:hAnsi="Arial" w:cs="Arial"/>
          <w:color w:val="000000"/>
          <w:sz w:val="24"/>
          <w:szCs w:val="24"/>
          <w:lang w:val="en-US"/>
        </w:rPr>
      </w:pPr>
      <w:r w:rsidRPr="00EC33C6">
        <w:rPr>
          <w:rFonts w:ascii="Arial" w:hAnsi="Arial" w:cs="Arial"/>
          <w:color w:val="000000"/>
          <w:sz w:val="24"/>
          <w:szCs w:val="24"/>
          <w:lang w:val="en-US"/>
        </w:rPr>
        <w:t xml:space="preserve">Rheumatoid arthritis (RA) is a chronic inflammatory autoimmune disease characterized by persistent synovitis, progressive destruction of the joints, and the presence of autoantibodies such as rheumatoid factor (RF) and anti-cyclic citrullinated peptide (anti-CCP), being one of the most prevalent forms of inflammatory arthritis (Vojdani &amp; Kharrazian 2020). </w:t>
      </w:r>
    </w:p>
    <w:p w14:paraId="77DB6C61" w14:textId="77777777" w:rsidR="00495049" w:rsidRPr="00EC33C6" w:rsidRDefault="00495049" w:rsidP="00495049">
      <w:pPr>
        <w:widowControl w:val="0"/>
        <w:pBdr>
          <w:top w:val="nil"/>
          <w:left w:val="nil"/>
          <w:bottom w:val="nil"/>
          <w:right w:val="nil"/>
          <w:between w:val="nil"/>
        </w:pBdr>
        <w:spacing w:after="0" w:line="360" w:lineRule="auto"/>
        <w:ind w:firstLine="709"/>
        <w:jc w:val="both"/>
        <w:rPr>
          <w:rFonts w:ascii="Arial" w:hAnsi="Arial" w:cs="Arial"/>
          <w:color w:val="000000"/>
          <w:sz w:val="24"/>
          <w:szCs w:val="24"/>
          <w:lang w:val="en-US"/>
        </w:rPr>
      </w:pPr>
      <w:r w:rsidRPr="00EC33C6">
        <w:rPr>
          <w:rFonts w:ascii="Arial" w:hAnsi="Arial" w:cs="Arial"/>
          <w:color w:val="000000"/>
          <w:sz w:val="24"/>
          <w:szCs w:val="24"/>
          <w:lang w:val="en-US"/>
        </w:rPr>
        <w:t xml:space="preserve">During the COVID-19 pandemic, several previously healthy patients reported joint pain, morning stiffness, and swelling in small joints, with a symmetrical and inflammatory pattern, leading to the suspicion of postviral arthritis with autoimmune features. A 2021 study identified multiple cases of post-COVID arthritis, including seropositive RA, reactive arthritis, and seronegative spondyloarthritis such as psoriatic arthritis and ankylosing spondylitis. In some patients, RF and anti-CCP positivity were observed, while others had negative serology but HLA-B27 positivity, suggesting genetic predisposition and involvement of distinct immune pathways (Vojdani &amp; Kharrazian 2020; Bastard et al., 2020). </w:t>
      </w:r>
    </w:p>
    <w:p w14:paraId="37D9C810" w14:textId="77777777" w:rsidR="00495049" w:rsidRPr="00EC33C6" w:rsidRDefault="00495049" w:rsidP="00495049">
      <w:pPr>
        <w:widowControl w:val="0"/>
        <w:pBdr>
          <w:top w:val="nil"/>
          <w:left w:val="nil"/>
          <w:bottom w:val="nil"/>
          <w:right w:val="nil"/>
          <w:between w:val="nil"/>
        </w:pBdr>
        <w:spacing w:after="0" w:line="360" w:lineRule="auto"/>
        <w:ind w:firstLine="709"/>
        <w:jc w:val="both"/>
        <w:rPr>
          <w:rFonts w:ascii="Arial" w:hAnsi="Arial" w:cs="Arial"/>
          <w:color w:val="000000"/>
          <w:sz w:val="24"/>
          <w:szCs w:val="24"/>
          <w:lang w:val="en-US"/>
        </w:rPr>
      </w:pPr>
      <w:r w:rsidRPr="00EC33C6">
        <w:rPr>
          <w:rFonts w:ascii="Arial" w:hAnsi="Arial" w:cs="Arial"/>
          <w:color w:val="000000"/>
          <w:sz w:val="24"/>
          <w:szCs w:val="24"/>
          <w:lang w:val="en-US"/>
        </w:rPr>
        <w:t>Studies such as the one by Vojdani and Kharrazian (2020) have demonstrated cross-reactivity between SARS-CoV-2 proteins and joint components, such as type II collagen, fibrinogen, and laminin, which can induce activation of autoreactive CD4+ and B T lymphocytes, favoring the production of inflammatory cytokines such as IL-6, TNF-</w:t>
      </w:r>
      <w:r w:rsidRPr="00495049">
        <w:rPr>
          <w:rFonts w:ascii="Arial" w:hAnsi="Arial" w:cs="Arial"/>
          <w:color w:val="000000"/>
          <w:sz w:val="24"/>
          <w:szCs w:val="24"/>
        </w:rPr>
        <w:t>α</w:t>
      </w:r>
      <w:r w:rsidRPr="00EC33C6">
        <w:rPr>
          <w:rFonts w:ascii="Arial" w:hAnsi="Arial" w:cs="Arial"/>
          <w:color w:val="000000"/>
          <w:sz w:val="24"/>
          <w:szCs w:val="24"/>
          <w:lang w:val="en-US"/>
        </w:rPr>
        <w:t>, and IL-17, all of which are implicated in the pathogenesis of RA and spondyloarthritis (</w:t>
      </w:r>
      <w:r w:rsidRPr="00EC33C6">
        <w:rPr>
          <w:rFonts w:ascii="Arial" w:hAnsi="Arial" w:cs="Arial"/>
          <w:b/>
          <w:color w:val="000000"/>
          <w:sz w:val="24"/>
          <w:szCs w:val="24"/>
          <w:lang w:val="en-US"/>
        </w:rPr>
        <w:t>Figure 1</w:t>
      </w:r>
      <w:r w:rsidRPr="00EC33C6">
        <w:rPr>
          <w:rFonts w:ascii="Arial" w:hAnsi="Arial" w:cs="Arial"/>
          <w:color w:val="000000"/>
          <w:sz w:val="24"/>
          <w:szCs w:val="24"/>
          <w:lang w:val="en-US"/>
        </w:rPr>
        <w:t>).</w:t>
      </w:r>
    </w:p>
    <w:p w14:paraId="38DCED59" w14:textId="77777777" w:rsidR="00495049" w:rsidRPr="00EC33C6" w:rsidRDefault="00495049" w:rsidP="00495049">
      <w:pPr>
        <w:widowControl w:val="0"/>
        <w:pBdr>
          <w:top w:val="nil"/>
          <w:left w:val="nil"/>
          <w:bottom w:val="nil"/>
          <w:right w:val="nil"/>
          <w:between w:val="nil"/>
        </w:pBdr>
        <w:spacing w:after="0" w:line="360" w:lineRule="auto"/>
        <w:ind w:firstLine="709"/>
        <w:jc w:val="both"/>
        <w:rPr>
          <w:rFonts w:ascii="Arial" w:hAnsi="Arial" w:cs="Arial"/>
          <w:color w:val="000000"/>
          <w:sz w:val="24"/>
          <w:szCs w:val="24"/>
          <w:lang w:val="en-US"/>
        </w:rPr>
      </w:pPr>
      <w:r w:rsidRPr="00EC33C6">
        <w:rPr>
          <w:rFonts w:ascii="Arial" w:hAnsi="Arial" w:cs="Arial"/>
          <w:color w:val="000000"/>
          <w:sz w:val="24"/>
          <w:szCs w:val="24"/>
          <w:lang w:val="en-US"/>
        </w:rPr>
        <w:t xml:space="preserve">From a therapeutic point of view, patients have been treated with nonsteroidal anti-inflammatory drugs (NSAIDs), intra-articular corticosteroids, and conventional immunosuppressants such as methotrexate and sulfasalazine. In refractory cases or cases with systemic involvement, biologics such as adalimumab (anti-TNF), tocilizumab (anti-IL-6), or JAK inhibitors have been used with good results. The clinical evolution is variable: while some patients present spontaneous resolution of joint symptoms, others evolve to chronic and erosive forms, requiring continuous rheumatological follow-up and periodic reassessment of inflammatory activity (Bastard et al., 2020; Vojdani &amp; Kharrazian 2020). </w:t>
      </w:r>
    </w:p>
    <w:p w14:paraId="0E8A3984" w14:textId="77777777" w:rsidR="00495049" w:rsidRPr="00EC33C6" w:rsidRDefault="00495049" w:rsidP="00495049">
      <w:pPr>
        <w:widowControl w:val="0"/>
        <w:pBdr>
          <w:top w:val="nil"/>
          <w:left w:val="nil"/>
          <w:bottom w:val="nil"/>
          <w:right w:val="nil"/>
          <w:between w:val="nil"/>
        </w:pBdr>
        <w:spacing w:after="0" w:line="360" w:lineRule="auto"/>
        <w:ind w:firstLine="709"/>
        <w:jc w:val="both"/>
        <w:rPr>
          <w:rFonts w:ascii="Arial" w:hAnsi="Arial" w:cs="Arial"/>
          <w:color w:val="000000"/>
          <w:sz w:val="24"/>
          <w:szCs w:val="24"/>
          <w:lang w:val="en-US"/>
        </w:rPr>
      </w:pPr>
      <w:r w:rsidRPr="00EC33C6">
        <w:rPr>
          <w:rFonts w:ascii="Arial" w:hAnsi="Arial" w:cs="Arial"/>
          <w:color w:val="000000"/>
          <w:sz w:val="24"/>
          <w:szCs w:val="24"/>
          <w:lang w:val="en-US"/>
        </w:rPr>
        <w:t xml:space="preserve">Studies such as Bastard et al., (2020) reinforce that COVID-19 can precipitate autoimmune arthritis in genetically predisposed individuals, and that immunological screening should be considered in patients with persistent joint symptoms, even in the absence of positive serology, to avoid diagnostic delay and irreversible functional impairment. </w:t>
      </w:r>
    </w:p>
    <w:p w14:paraId="67CD29AF" w14:textId="77777777" w:rsidR="00495049" w:rsidRPr="00EC33C6" w:rsidRDefault="00495049" w:rsidP="00495049">
      <w:pPr>
        <w:widowControl w:val="0"/>
        <w:pBdr>
          <w:top w:val="nil"/>
          <w:left w:val="nil"/>
          <w:bottom w:val="nil"/>
          <w:right w:val="nil"/>
          <w:between w:val="nil"/>
        </w:pBdr>
        <w:spacing w:after="0" w:line="360" w:lineRule="auto"/>
        <w:ind w:firstLine="708"/>
        <w:rPr>
          <w:rFonts w:ascii="Arial" w:hAnsi="Arial" w:cs="Arial"/>
          <w:b/>
          <w:color w:val="000000"/>
          <w:sz w:val="24"/>
          <w:szCs w:val="24"/>
          <w:lang w:val="en-US"/>
        </w:rPr>
      </w:pPr>
      <w:r w:rsidRPr="00EC33C6">
        <w:rPr>
          <w:rFonts w:ascii="Arial" w:hAnsi="Arial" w:cs="Arial"/>
          <w:b/>
          <w:color w:val="000000"/>
          <w:sz w:val="24"/>
          <w:szCs w:val="24"/>
          <w:lang w:val="en-US"/>
        </w:rPr>
        <w:lastRenderedPageBreak/>
        <w:t xml:space="preserve">Type 1 Diabetes Mellitus </w:t>
      </w:r>
    </w:p>
    <w:p w14:paraId="44C50946" w14:textId="77777777" w:rsidR="00495049" w:rsidRPr="00EC33C6" w:rsidRDefault="00495049" w:rsidP="00495049">
      <w:pPr>
        <w:widowControl w:val="0"/>
        <w:pBdr>
          <w:top w:val="nil"/>
          <w:left w:val="nil"/>
          <w:bottom w:val="nil"/>
          <w:right w:val="nil"/>
          <w:between w:val="nil"/>
        </w:pBdr>
        <w:spacing w:after="0" w:line="360" w:lineRule="auto"/>
        <w:ind w:firstLine="709"/>
        <w:jc w:val="both"/>
        <w:rPr>
          <w:rFonts w:ascii="Arial" w:hAnsi="Arial" w:cs="Arial"/>
          <w:color w:val="000000"/>
          <w:sz w:val="24"/>
          <w:szCs w:val="24"/>
          <w:lang w:val="en-US"/>
        </w:rPr>
      </w:pPr>
      <w:r w:rsidRPr="00EC33C6">
        <w:rPr>
          <w:rFonts w:ascii="Arial" w:hAnsi="Arial" w:cs="Arial"/>
          <w:color w:val="000000"/>
          <w:sz w:val="24"/>
          <w:szCs w:val="24"/>
          <w:lang w:val="en-US"/>
        </w:rPr>
        <w:t xml:space="preserve">Type 1 Diabetes Mellitus (T1D) is an autoimmune disease characterized by the progressive destruction of pancreatic beta cells, leading to absolute insulin deficiency and vital dependence on insulin therapy (Marchand et al., 2022). </w:t>
      </w:r>
    </w:p>
    <w:p w14:paraId="56018F15" w14:textId="77777777" w:rsidR="00495049" w:rsidRPr="00EC33C6" w:rsidRDefault="00495049" w:rsidP="00495049">
      <w:pPr>
        <w:widowControl w:val="0"/>
        <w:pBdr>
          <w:top w:val="nil"/>
          <w:left w:val="nil"/>
          <w:bottom w:val="nil"/>
          <w:right w:val="nil"/>
          <w:between w:val="nil"/>
        </w:pBdr>
        <w:spacing w:after="0" w:line="360" w:lineRule="auto"/>
        <w:ind w:firstLine="709"/>
        <w:jc w:val="both"/>
        <w:rPr>
          <w:rFonts w:ascii="Arial" w:hAnsi="Arial" w:cs="Arial"/>
          <w:color w:val="000000"/>
          <w:sz w:val="24"/>
          <w:szCs w:val="24"/>
          <w:lang w:val="en-US"/>
        </w:rPr>
      </w:pPr>
      <w:r w:rsidRPr="00EC33C6">
        <w:rPr>
          <w:rFonts w:ascii="Arial" w:hAnsi="Arial" w:cs="Arial"/>
          <w:color w:val="000000"/>
          <w:sz w:val="24"/>
          <w:szCs w:val="24"/>
          <w:lang w:val="en-US"/>
        </w:rPr>
        <w:t>During the COVID-19 pandemic, several clinical reports have documented the onset of new-onset T1D in previously healthy patients, with emphasis on cases of severe diabetic ketoacidosis and immediate need for intensive insulin therapy. Marchand et al., (2022) identified young patients, with no family history of diabetes, who were positive for classic autoantibodies of the disease, such as anti-GAD, anti-IA2, and anti-ZnT8, suggesting an autoimmune process triggered by viral infection. The pathogenic hypothesis involves multiple mechanisms: direct infection of beta cells through the expression of ACE2 receptors and TMPRSS2 in pancreatic tissue; activation of cytotoxic T cells that recognize beta-specific antigens; sustained systemic inflammation with release of cytokines such as IL-1</w:t>
      </w:r>
      <w:r w:rsidRPr="00495049">
        <w:rPr>
          <w:rFonts w:ascii="Arial" w:hAnsi="Arial" w:cs="Arial"/>
          <w:color w:val="000000"/>
          <w:sz w:val="24"/>
          <w:szCs w:val="24"/>
        </w:rPr>
        <w:t>β</w:t>
      </w:r>
      <w:r w:rsidRPr="00EC33C6">
        <w:rPr>
          <w:rFonts w:ascii="Arial" w:hAnsi="Arial" w:cs="Arial"/>
          <w:color w:val="000000"/>
          <w:sz w:val="24"/>
          <w:szCs w:val="24"/>
          <w:lang w:val="en-US"/>
        </w:rPr>
        <w:t>, IFN-</w:t>
      </w:r>
      <w:r w:rsidRPr="00495049">
        <w:rPr>
          <w:rFonts w:ascii="Arial" w:hAnsi="Arial" w:cs="Arial"/>
          <w:color w:val="000000"/>
          <w:sz w:val="24"/>
          <w:szCs w:val="24"/>
        </w:rPr>
        <w:t>γ</w:t>
      </w:r>
      <w:r w:rsidRPr="00EC33C6">
        <w:rPr>
          <w:rFonts w:ascii="Arial" w:hAnsi="Arial" w:cs="Arial"/>
          <w:color w:val="000000"/>
          <w:sz w:val="24"/>
          <w:szCs w:val="24"/>
          <w:lang w:val="en-US"/>
        </w:rPr>
        <w:t>, and TNF-</w:t>
      </w:r>
      <w:r w:rsidRPr="00495049">
        <w:rPr>
          <w:rFonts w:ascii="Arial" w:hAnsi="Arial" w:cs="Arial"/>
          <w:color w:val="000000"/>
          <w:sz w:val="24"/>
          <w:szCs w:val="24"/>
        </w:rPr>
        <w:t>α</w:t>
      </w:r>
      <w:r w:rsidRPr="00EC33C6">
        <w:rPr>
          <w:rFonts w:ascii="Arial" w:hAnsi="Arial" w:cs="Arial"/>
          <w:color w:val="000000"/>
          <w:sz w:val="24"/>
          <w:szCs w:val="24"/>
          <w:lang w:val="en-US"/>
        </w:rPr>
        <w:t>; in addition to epigenetic changes in immune cells that perpetuate the autoreactive response. There is evidence that SARS-CoV-2 can accelerate the progression of subclinical forms of pancreatic autoimmunity, such as autoimmune prediabetes and LADA (</w:t>
      </w:r>
      <w:r w:rsidRPr="00EC33C6">
        <w:rPr>
          <w:rFonts w:ascii="Arial" w:hAnsi="Arial" w:cs="Arial"/>
          <w:i/>
          <w:color w:val="000000"/>
          <w:sz w:val="24"/>
          <w:szCs w:val="24"/>
          <w:lang w:val="en-US"/>
        </w:rPr>
        <w:t>Latent Autoimmune Diabetes in Adults</w:t>
      </w:r>
      <w:r w:rsidRPr="00EC33C6">
        <w:rPr>
          <w:rFonts w:ascii="Arial" w:hAnsi="Arial" w:cs="Arial"/>
          <w:color w:val="000000"/>
          <w:sz w:val="24"/>
          <w:szCs w:val="24"/>
          <w:lang w:val="en-US"/>
        </w:rPr>
        <w:t>), especially in individuals with a genetic predisposition or a history of other autoimmune diseases (</w:t>
      </w:r>
      <w:r w:rsidRPr="00EC33C6">
        <w:rPr>
          <w:rFonts w:ascii="Arial" w:hAnsi="Arial" w:cs="Arial"/>
          <w:b/>
          <w:color w:val="000000"/>
          <w:sz w:val="24"/>
          <w:szCs w:val="24"/>
          <w:lang w:val="en-US"/>
        </w:rPr>
        <w:t>Figure 1</w:t>
      </w:r>
      <w:r w:rsidRPr="00EC33C6">
        <w:rPr>
          <w:rFonts w:ascii="Arial" w:hAnsi="Arial" w:cs="Arial"/>
          <w:color w:val="000000"/>
          <w:sz w:val="24"/>
          <w:szCs w:val="24"/>
          <w:lang w:val="en-US"/>
        </w:rPr>
        <w:t xml:space="preserve">). </w:t>
      </w:r>
    </w:p>
    <w:p w14:paraId="14DAEB81" w14:textId="77777777" w:rsidR="00495049" w:rsidRPr="00EC33C6" w:rsidRDefault="00495049" w:rsidP="00495049">
      <w:pPr>
        <w:widowControl w:val="0"/>
        <w:pBdr>
          <w:top w:val="nil"/>
          <w:left w:val="nil"/>
          <w:bottom w:val="nil"/>
          <w:right w:val="nil"/>
          <w:between w:val="nil"/>
        </w:pBdr>
        <w:spacing w:after="0" w:line="360" w:lineRule="auto"/>
        <w:ind w:firstLine="709"/>
        <w:jc w:val="both"/>
        <w:rPr>
          <w:rFonts w:ascii="Arial" w:hAnsi="Arial" w:cs="Arial"/>
          <w:color w:val="000000"/>
          <w:sz w:val="24"/>
          <w:szCs w:val="24"/>
          <w:lang w:val="en-US"/>
        </w:rPr>
      </w:pPr>
      <w:r w:rsidRPr="00EC33C6">
        <w:rPr>
          <w:rFonts w:ascii="Arial" w:hAnsi="Arial" w:cs="Arial"/>
          <w:color w:val="000000"/>
          <w:sz w:val="24"/>
          <w:szCs w:val="24"/>
          <w:lang w:val="en-US"/>
        </w:rPr>
        <w:t xml:space="preserve">Among the numerous case reports found in the literature of DM1 after COVID-19, we have that of a 16-year-old adolescent, with no family history of diabetes, who was hospitalized with severe diabetic ketoacidosis 18 days after recovery from COVID-19. Laboratory tests showed blood glucose of 480 mg/dL, arterial pH of 7.1, positive ketonemia, and positivity for anti-GAD and anti-IA2 autoantibodies. The C-peptide dosage was suppressed, confirming pancreatic beta cell failure. The patient started intensive insulin therapy and received metabolic support in the intensive care unit. After stabilization, he was referred for endocrinological follow-up, with a diagnosis of post-COVID autoimmune type 1 diabetes. This case exemplifies and demonstrates the ability of SARS-CoV-2 to precipitate pancreatic autoimmune destruction in young individuals, even without apparent genetic predisposition (Marchand et al., 2022). </w:t>
      </w:r>
    </w:p>
    <w:p w14:paraId="2D89634B" w14:textId="77777777" w:rsidR="00495049" w:rsidRPr="00EC33C6" w:rsidRDefault="00495049" w:rsidP="00495049">
      <w:pPr>
        <w:widowControl w:val="0"/>
        <w:pBdr>
          <w:top w:val="nil"/>
          <w:left w:val="nil"/>
          <w:bottom w:val="nil"/>
          <w:right w:val="nil"/>
          <w:between w:val="nil"/>
        </w:pBdr>
        <w:spacing w:after="0" w:line="360" w:lineRule="auto"/>
        <w:ind w:firstLine="709"/>
        <w:jc w:val="both"/>
        <w:rPr>
          <w:rFonts w:ascii="Arial" w:hAnsi="Arial" w:cs="Arial"/>
          <w:color w:val="000000"/>
          <w:sz w:val="24"/>
          <w:szCs w:val="24"/>
          <w:lang w:val="en-US"/>
        </w:rPr>
      </w:pPr>
      <w:r w:rsidRPr="00EC33C6">
        <w:rPr>
          <w:rFonts w:ascii="Arial" w:hAnsi="Arial" w:cs="Arial"/>
          <w:color w:val="000000"/>
          <w:sz w:val="24"/>
          <w:szCs w:val="24"/>
          <w:lang w:val="en-US"/>
        </w:rPr>
        <w:t xml:space="preserve">Clinical management of these patients requires intensive insulin therapy from diagnosis, continuous glycemic monitoring, diabetes education, and screening for associated autoimmune comorbidities such as Hashimoto's thyroiditis and celiac disease. The clinical course depends on the extent of pancreatic damage, autoimmune burden, and residual capacity for insulin secretion, and prolonged endocrinological follow-up is essential to adjust therapy, prevent metabolic complications, and assess immune dynamics over time </w:t>
      </w:r>
      <w:r w:rsidRPr="00EC33C6">
        <w:rPr>
          <w:rFonts w:ascii="Arial" w:hAnsi="Arial" w:cs="Arial"/>
          <w:color w:val="000000"/>
          <w:sz w:val="24"/>
          <w:szCs w:val="24"/>
          <w:lang w:val="en-US"/>
        </w:rPr>
        <w:lastRenderedPageBreak/>
        <w:t xml:space="preserve">(Marchand et al., 2022). Again, as in the previously mentioned diseases, there is a need for immune surveillance in post-COVID patients, even in the absence of classic symptoms of hyperglycemia, especially in young and genetically susceptible populations. </w:t>
      </w:r>
    </w:p>
    <w:p w14:paraId="0AB30D44" w14:textId="77777777" w:rsidR="00495049" w:rsidRPr="00495049" w:rsidRDefault="00495049" w:rsidP="00495049">
      <w:pPr>
        <w:widowControl w:val="0"/>
        <w:pBdr>
          <w:top w:val="nil"/>
          <w:left w:val="nil"/>
          <w:bottom w:val="nil"/>
          <w:right w:val="nil"/>
          <w:between w:val="nil"/>
        </w:pBdr>
        <w:spacing w:after="0" w:line="360" w:lineRule="auto"/>
        <w:ind w:firstLine="709"/>
        <w:rPr>
          <w:rFonts w:ascii="Arial" w:hAnsi="Arial" w:cs="Arial"/>
          <w:b/>
          <w:color w:val="000000"/>
          <w:sz w:val="24"/>
          <w:szCs w:val="24"/>
        </w:rPr>
      </w:pPr>
      <w:r w:rsidRPr="00495049">
        <w:rPr>
          <w:rFonts w:ascii="Arial" w:hAnsi="Arial" w:cs="Arial"/>
          <w:b/>
          <w:color w:val="000000"/>
          <w:sz w:val="24"/>
          <w:szCs w:val="24"/>
        </w:rPr>
        <w:t>Hashimoto's Disease and Subacute Thyroiditis</w:t>
      </w:r>
    </w:p>
    <w:p w14:paraId="21344D5A" w14:textId="77777777" w:rsidR="00495049" w:rsidRPr="00EC33C6" w:rsidRDefault="00495049" w:rsidP="00495049">
      <w:pPr>
        <w:widowControl w:val="0"/>
        <w:pBdr>
          <w:top w:val="nil"/>
          <w:left w:val="nil"/>
          <w:bottom w:val="nil"/>
          <w:right w:val="nil"/>
          <w:between w:val="nil"/>
        </w:pBdr>
        <w:spacing w:after="0" w:line="360" w:lineRule="auto"/>
        <w:ind w:firstLine="709"/>
        <w:jc w:val="both"/>
        <w:rPr>
          <w:rFonts w:ascii="Arial" w:hAnsi="Arial" w:cs="Arial"/>
          <w:color w:val="000000"/>
          <w:sz w:val="24"/>
          <w:szCs w:val="24"/>
          <w:lang w:val="en-US"/>
        </w:rPr>
      </w:pPr>
      <w:r w:rsidRPr="00EC33C6">
        <w:rPr>
          <w:rFonts w:ascii="Arial" w:hAnsi="Arial" w:cs="Arial"/>
          <w:color w:val="000000"/>
          <w:sz w:val="24"/>
          <w:szCs w:val="24"/>
          <w:lang w:val="en-US"/>
        </w:rPr>
        <w:t xml:space="preserve">Hashimoto's disease is characterized by progressive hypothyroidism, lymphocytic infiltration of the thyroid gland, and the presence of anti-TPO and anti-Tg autoantibodies, and is considered the most common cause of autoimmune hypothyroidism. Autoimmune thyroid disorders have been observed with high frequency in post-COVID patients, especially in young women, especially Hashimoto's disease, subacute thyroiditis, and, to a lesser extent, Graves' disease (Muller et al., 2020). </w:t>
      </w:r>
    </w:p>
    <w:p w14:paraId="6E883FCC" w14:textId="77777777" w:rsidR="00495049" w:rsidRPr="00EC33C6" w:rsidRDefault="00495049" w:rsidP="00495049">
      <w:pPr>
        <w:widowControl w:val="0"/>
        <w:pBdr>
          <w:top w:val="nil"/>
          <w:left w:val="nil"/>
          <w:bottom w:val="nil"/>
          <w:right w:val="nil"/>
          <w:between w:val="nil"/>
        </w:pBdr>
        <w:spacing w:after="0" w:line="360" w:lineRule="auto"/>
        <w:ind w:firstLine="709"/>
        <w:jc w:val="both"/>
        <w:rPr>
          <w:rFonts w:ascii="Arial" w:hAnsi="Arial" w:cs="Arial"/>
          <w:color w:val="000000"/>
          <w:sz w:val="24"/>
          <w:szCs w:val="24"/>
          <w:lang w:val="en-US"/>
        </w:rPr>
      </w:pPr>
      <w:r w:rsidRPr="00EC33C6">
        <w:rPr>
          <w:rFonts w:ascii="Arial" w:hAnsi="Arial" w:cs="Arial"/>
          <w:color w:val="000000"/>
          <w:sz w:val="24"/>
          <w:szCs w:val="24"/>
          <w:lang w:val="en-US"/>
        </w:rPr>
        <w:t>In this context, Muller et al., (2020) reported cases of subacute thyroiditis in post-COVID patients, with severe neck pain, fever, transient hyperthyroidism, and subsequent progression to hypothyroidism, accompanied by positivity for thyroid autoantibodies. The immunopathology of these conditions involves direct viral inflammation, activation of CD8+ T cells, increased expression of MHC class I in thyroid follicular cells, and possible molecular mimicry between viral proteins and thyroid antigens, which favors the breakdown of immune tolerance. In addition to the classic painful form, cases of silent thyroiditis, with hormonal dysfunction without pain, and post-COVID Graves' disease, characterized by autoimmune hyperthyroidism and the presence of anti-TSH receptor antibodies (TRAb), have been described, suggesting that SARS-CoV-2 infection can trigger both hypo- and hyperthyroid conditions (</w:t>
      </w:r>
      <w:r w:rsidRPr="00EC33C6">
        <w:rPr>
          <w:rFonts w:ascii="Arial" w:hAnsi="Arial" w:cs="Arial"/>
          <w:b/>
          <w:color w:val="000000"/>
          <w:sz w:val="24"/>
          <w:szCs w:val="24"/>
          <w:lang w:val="en-US"/>
        </w:rPr>
        <w:t>Figure 1</w:t>
      </w:r>
      <w:r w:rsidRPr="00EC33C6">
        <w:rPr>
          <w:rFonts w:ascii="Arial" w:hAnsi="Arial" w:cs="Arial"/>
          <w:color w:val="000000"/>
          <w:sz w:val="24"/>
          <w:szCs w:val="24"/>
          <w:lang w:val="en-US"/>
        </w:rPr>
        <w:t>)</w:t>
      </w:r>
    </w:p>
    <w:p w14:paraId="7C046799" w14:textId="77777777" w:rsidR="00495049" w:rsidRPr="00EC33C6" w:rsidRDefault="00495049" w:rsidP="00495049">
      <w:pPr>
        <w:widowControl w:val="0"/>
        <w:pBdr>
          <w:top w:val="nil"/>
          <w:left w:val="nil"/>
          <w:bottom w:val="nil"/>
          <w:right w:val="nil"/>
          <w:between w:val="nil"/>
        </w:pBdr>
        <w:spacing w:after="0" w:line="360" w:lineRule="auto"/>
        <w:ind w:firstLine="709"/>
        <w:jc w:val="both"/>
        <w:rPr>
          <w:rFonts w:ascii="Arial" w:hAnsi="Arial" w:cs="Arial"/>
          <w:sz w:val="24"/>
          <w:szCs w:val="24"/>
          <w:lang w:val="en-US"/>
        </w:rPr>
      </w:pPr>
      <w:r w:rsidRPr="00EC33C6">
        <w:rPr>
          <w:rFonts w:ascii="Arial" w:hAnsi="Arial" w:cs="Arial"/>
          <w:color w:val="000000"/>
          <w:sz w:val="24"/>
          <w:szCs w:val="24"/>
          <w:lang w:val="en-US"/>
        </w:rPr>
        <w:t xml:space="preserve">Among the different cases described in the literature, we have that of a 35-year-old patient who presented with severe neck pain, low-grade fever, and palpitations two weeks after COVID-19 infection. The tests revealed suppressed TSH, elevated free T4, and elevated C-reactive protein and erythrocyte sedimentation rate (ESR). Thyroid ultrasonography showed a diffuse hypoechoic pattern with reduced vascularization. After three weeks, the patient developed hypothyroidism, with elevated TSH and reduced free T4, in addition to positivity for anti-TPO and anti-Tg. The patient had improvement of symptoms and hormonal stabilization after treatment with levothyroxine. Interestingly, this case confirms the biphasic evolution of post-COVID subacute thyroiditis and its transition to chronic autoimmune disease (Muller et al., 2020). </w:t>
      </w:r>
    </w:p>
    <w:p w14:paraId="50074766" w14:textId="77777777" w:rsidR="00495049" w:rsidRPr="00EC33C6" w:rsidRDefault="00495049" w:rsidP="00495049">
      <w:pPr>
        <w:widowControl w:val="0"/>
        <w:pBdr>
          <w:top w:val="nil"/>
          <w:left w:val="nil"/>
          <w:bottom w:val="nil"/>
          <w:right w:val="nil"/>
          <w:between w:val="nil"/>
        </w:pBdr>
        <w:spacing w:after="0" w:line="360" w:lineRule="auto"/>
        <w:ind w:firstLine="709"/>
        <w:jc w:val="both"/>
        <w:rPr>
          <w:rFonts w:ascii="Arial" w:hAnsi="Arial" w:cs="Arial"/>
          <w:sz w:val="24"/>
          <w:szCs w:val="24"/>
          <w:lang w:val="en-US"/>
        </w:rPr>
      </w:pPr>
      <w:r w:rsidRPr="00EC33C6">
        <w:rPr>
          <w:rFonts w:ascii="Arial" w:hAnsi="Arial" w:cs="Arial"/>
          <w:color w:val="000000"/>
          <w:sz w:val="24"/>
          <w:szCs w:val="24"/>
          <w:lang w:val="en-US"/>
        </w:rPr>
        <w:t xml:space="preserve">Treatment varies according to the clinical phase: in the acute inflammatory phase, nonsteroidal anti-inflammatory drugs (NSAIDs) or corticosteroids are used to control pain and inflammation; in the hypothyroid phase, hormone replacement with levothyroxine is indicated, adjusted according to TSH and free T4 levels. Endocrinological follow-up is essential to </w:t>
      </w:r>
      <w:r w:rsidRPr="00EC33C6">
        <w:rPr>
          <w:rFonts w:ascii="Arial" w:hAnsi="Arial" w:cs="Arial"/>
          <w:color w:val="000000"/>
          <w:sz w:val="24"/>
          <w:szCs w:val="24"/>
          <w:lang w:val="en-US"/>
        </w:rPr>
        <w:lastRenderedPageBreak/>
        <w:t xml:space="preserve">monitor thyroid function, assess the need for therapeutic maintenance, and screen for possible associated autoimmune comorbidities (Zhao et al., 2021; Muller et al., 2020). Studies such as de Zhao et al., (2021) indicate that up to 15% of post-COVID patients develop some degree of thyroid dysfunction, with autoimmune evolution in about 5%, which reinforces the importance of laboratory and clinical screening in patients with persistent symptoms, such as fatigue, weight changes, intolerance to cold or heat, and menstrual disorders, even when there is no previous history of thyroid disease. </w:t>
      </w:r>
    </w:p>
    <w:p w14:paraId="534F90ED" w14:textId="77777777" w:rsidR="00495049" w:rsidRPr="00EC33C6" w:rsidRDefault="00495049" w:rsidP="00495049">
      <w:pPr>
        <w:widowControl w:val="0"/>
        <w:pBdr>
          <w:top w:val="nil"/>
          <w:left w:val="nil"/>
          <w:bottom w:val="nil"/>
          <w:right w:val="nil"/>
          <w:between w:val="nil"/>
        </w:pBdr>
        <w:spacing w:after="0" w:line="360" w:lineRule="auto"/>
        <w:ind w:firstLine="709"/>
        <w:jc w:val="both"/>
        <w:rPr>
          <w:rFonts w:ascii="Arial" w:hAnsi="Arial" w:cs="Arial"/>
          <w:b/>
          <w:color w:val="000000"/>
          <w:sz w:val="24"/>
          <w:szCs w:val="24"/>
          <w:lang w:val="en-US"/>
        </w:rPr>
      </w:pPr>
      <w:r w:rsidRPr="00EC33C6">
        <w:rPr>
          <w:rFonts w:ascii="Arial" w:hAnsi="Arial" w:cs="Arial"/>
          <w:b/>
          <w:color w:val="000000"/>
          <w:sz w:val="24"/>
          <w:szCs w:val="24"/>
          <w:lang w:val="en-US"/>
        </w:rPr>
        <w:t xml:space="preserve">Multiple sclerosis </w:t>
      </w:r>
    </w:p>
    <w:p w14:paraId="2E77BA60" w14:textId="77777777" w:rsidR="00495049" w:rsidRPr="00EC33C6" w:rsidRDefault="00495049" w:rsidP="00495049">
      <w:pPr>
        <w:widowControl w:val="0"/>
        <w:pBdr>
          <w:top w:val="nil"/>
          <w:left w:val="nil"/>
          <w:bottom w:val="nil"/>
          <w:right w:val="nil"/>
          <w:between w:val="nil"/>
        </w:pBdr>
        <w:spacing w:after="0" w:line="360" w:lineRule="auto"/>
        <w:ind w:firstLine="709"/>
        <w:jc w:val="both"/>
        <w:rPr>
          <w:rFonts w:ascii="Arial" w:hAnsi="Arial" w:cs="Arial"/>
          <w:color w:val="000000"/>
          <w:sz w:val="24"/>
          <w:szCs w:val="24"/>
          <w:lang w:val="en-US"/>
        </w:rPr>
      </w:pPr>
      <w:r w:rsidRPr="00EC33C6">
        <w:rPr>
          <w:rFonts w:ascii="Arial" w:hAnsi="Arial" w:cs="Arial"/>
          <w:color w:val="000000"/>
          <w:sz w:val="24"/>
          <w:szCs w:val="24"/>
          <w:lang w:val="en-US"/>
        </w:rPr>
        <w:t xml:space="preserve">Multiple Sclerosis (MS) is a chronic inflammatory autoimmune disease of the central nervous system, characterized by multifocal demyelination, progressive neurodegeneration, and activation of T and B lymphocytes against myelin antigens, such as myelin basic protein (MBP) and myelin oligodendrocyte glycoprotein (MOG) (Hemmer et al., 2015). </w:t>
      </w:r>
    </w:p>
    <w:p w14:paraId="4235CC64" w14:textId="77777777" w:rsidR="00495049" w:rsidRPr="00EC33C6" w:rsidRDefault="00495049" w:rsidP="00495049">
      <w:pPr>
        <w:widowControl w:val="0"/>
        <w:pBdr>
          <w:top w:val="nil"/>
          <w:left w:val="nil"/>
          <w:bottom w:val="nil"/>
          <w:right w:val="nil"/>
          <w:between w:val="nil"/>
        </w:pBdr>
        <w:spacing w:after="0" w:line="360" w:lineRule="auto"/>
        <w:ind w:firstLine="709"/>
        <w:jc w:val="both"/>
        <w:rPr>
          <w:rFonts w:ascii="Arial" w:hAnsi="Arial" w:cs="Arial"/>
          <w:color w:val="000000"/>
          <w:sz w:val="24"/>
          <w:szCs w:val="24"/>
          <w:lang w:val="en-US"/>
        </w:rPr>
      </w:pPr>
      <w:r w:rsidRPr="00EC33C6">
        <w:rPr>
          <w:rFonts w:ascii="Arial" w:hAnsi="Arial" w:cs="Arial"/>
          <w:color w:val="000000"/>
          <w:sz w:val="24"/>
          <w:szCs w:val="24"/>
          <w:lang w:val="en-US"/>
        </w:rPr>
        <w:t xml:space="preserve">Although the association between COVID-19 and MS is still under investigation, emerging reports suggest that SARS-CoV-2 infection may act as an immune trigger in predisposed individuals, precipitating the onset of neurological symptoms compatible with MS or exacerbating previously controlled conditions (Zhou et al., 2021; Zanin et al., 2020). </w:t>
      </w:r>
    </w:p>
    <w:p w14:paraId="24EEF82A" w14:textId="77777777" w:rsidR="00495049" w:rsidRPr="00EC33C6" w:rsidRDefault="00495049" w:rsidP="00495049">
      <w:pPr>
        <w:widowControl w:val="0"/>
        <w:pBdr>
          <w:top w:val="nil"/>
          <w:left w:val="nil"/>
          <w:bottom w:val="nil"/>
          <w:right w:val="nil"/>
          <w:between w:val="nil"/>
        </w:pBdr>
        <w:spacing w:after="0" w:line="360" w:lineRule="auto"/>
        <w:ind w:firstLine="709"/>
        <w:jc w:val="both"/>
        <w:rPr>
          <w:rFonts w:ascii="Arial" w:hAnsi="Arial" w:cs="Arial"/>
          <w:color w:val="000000"/>
          <w:sz w:val="24"/>
          <w:szCs w:val="24"/>
          <w:lang w:val="en-US"/>
        </w:rPr>
      </w:pPr>
      <w:r w:rsidRPr="00EC33C6">
        <w:rPr>
          <w:rFonts w:ascii="Arial" w:hAnsi="Arial" w:cs="Arial"/>
          <w:color w:val="000000"/>
          <w:sz w:val="24"/>
          <w:szCs w:val="24"/>
          <w:lang w:val="en-US"/>
        </w:rPr>
        <w:t>Studies such as those by Zhou et al., (2021) documented post-COVID patients with paresthesias, diplopia, ataxia, and motor alterations, whose magnetic resonance imaging revealed periventricular and infratentorial lesions typical of MS, in addition to the presence of oligoclonal bands in the cerebrospinal fluid, indicating intrathecal activation of B cells.</w:t>
      </w:r>
    </w:p>
    <w:p w14:paraId="7EB322F2" w14:textId="77777777" w:rsidR="00495049" w:rsidRPr="00EC33C6" w:rsidRDefault="00495049" w:rsidP="00495049">
      <w:pPr>
        <w:widowControl w:val="0"/>
        <w:pBdr>
          <w:top w:val="nil"/>
          <w:left w:val="nil"/>
          <w:bottom w:val="nil"/>
          <w:right w:val="nil"/>
          <w:between w:val="nil"/>
        </w:pBdr>
        <w:spacing w:after="0" w:line="360" w:lineRule="auto"/>
        <w:ind w:firstLine="709"/>
        <w:jc w:val="both"/>
        <w:rPr>
          <w:rFonts w:ascii="Arial" w:hAnsi="Arial" w:cs="Arial"/>
          <w:color w:val="000000"/>
          <w:sz w:val="24"/>
          <w:szCs w:val="24"/>
          <w:lang w:val="en-US"/>
        </w:rPr>
      </w:pPr>
      <w:r w:rsidRPr="00EC33C6">
        <w:rPr>
          <w:rFonts w:ascii="Arial" w:hAnsi="Arial" w:cs="Arial"/>
          <w:color w:val="000000"/>
          <w:sz w:val="24"/>
          <w:szCs w:val="24"/>
          <w:lang w:val="en-US"/>
        </w:rPr>
        <w:t>The proposed immunopathology involves molecular mimicry between viral proteins and myelin antigens, activation of CD4+, Th1, and Th17 T cells, production of cytokines such as IFN-</w:t>
      </w:r>
      <w:r w:rsidRPr="00495049">
        <w:rPr>
          <w:rFonts w:ascii="Arial" w:hAnsi="Arial" w:cs="Arial"/>
          <w:color w:val="000000"/>
          <w:sz w:val="24"/>
          <w:szCs w:val="24"/>
        </w:rPr>
        <w:t>γ</w:t>
      </w:r>
      <w:r w:rsidRPr="00EC33C6">
        <w:rPr>
          <w:rFonts w:ascii="Arial" w:hAnsi="Arial" w:cs="Arial"/>
          <w:color w:val="000000"/>
          <w:sz w:val="24"/>
          <w:szCs w:val="24"/>
          <w:lang w:val="en-US"/>
        </w:rPr>
        <w:t xml:space="preserve">, IL-6, and IL-17, and dysfunction of regulatory T cells, in addition to the possible participation of anti-MOG and anti-AQP4 autoantibodies in clinical variants such as neuromyelitis optica. In some cases, viral infection appears to have precipitated the first clinical outbreak of MS, while in others there was reactivation of the disease in previously stable patients, suggesting that the systemic inflammatory state induced by COVID-19 may break the blood-brain barrier and facilitate the access of autoreactive cells to the central nervous system (Zhou et al., 2021; Zanin et al., 2020). </w:t>
      </w:r>
    </w:p>
    <w:p w14:paraId="395086E4" w14:textId="77777777" w:rsidR="00495049" w:rsidRPr="00EC33C6" w:rsidRDefault="00495049" w:rsidP="00495049">
      <w:pPr>
        <w:widowControl w:val="0"/>
        <w:pBdr>
          <w:top w:val="nil"/>
          <w:left w:val="nil"/>
          <w:bottom w:val="nil"/>
          <w:right w:val="nil"/>
          <w:between w:val="nil"/>
        </w:pBdr>
        <w:spacing w:after="0" w:line="360" w:lineRule="auto"/>
        <w:ind w:firstLine="709"/>
        <w:jc w:val="both"/>
        <w:rPr>
          <w:rFonts w:ascii="Arial" w:hAnsi="Arial" w:cs="Arial"/>
          <w:color w:val="000000"/>
          <w:sz w:val="24"/>
          <w:szCs w:val="24"/>
          <w:lang w:val="en-US"/>
        </w:rPr>
      </w:pPr>
      <w:r w:rsidRPr="00EC33C6">
        <w:rPr>
          <w:rFonts w:ascii="Arial" w:hAnsi="Arial" w:cs="Arial"/>
          <w:color w:val="000000"/>
          <w:sz w:val="24"/>
          <w:szCs w:val="24"/>
          <w:lang w:val="en-US"/>
        </w:rPr>
        <w:t xml:space="preserve">Treatment follows conventional protocols, with the use of corticosteroids in acute outbreaks and immunomodulators such as interferon beta, glatiramer acetate, fingolimod, or ocrelizumab to control inflammatory activity. The clinical course depends on the form of the disease (relapsing-remitting or progressive), the initial lesion burden, and the response to treatment, and continuous neurological and immunological follow-up is essential. These findings again reinforce the need for neurological surveillance in post-COVID patients with </w:t>
      </w:r>
      <w:r w:rsidRPr="00EC33C6">
        <w:rPr>
          <w:rFonts w:ascii="Arial" w:hAnsi="Arial" w:cs="Arial"/>
          <w:color w:val="000000"/>
          <w:sz w:val="24"/>
          <w:szCs w:val="24"/>
          <w:lang w:val="en-US"/>
        </w:rPr>
        <w:lastRenderedPageBreak/>
        <w:t xml:space="preserve">new or worsening neurological symptoms, especially in young populations and with a family history of demyelinating diseases (Zhou et al., 2021; Zanin et al., 2020). </w:t>
      </w:r>
    </w:p>
    <w:p w14:paraId="61539EBC" w14:textId="77777777" w:rsidR="00495049" w:rsidRPr="00EC33C6" w:rsidRDefault="00495049" w:rsidP="00495049">
      <w:pPr>
        <w:widowControl w:val="0"/>
        <w:pBdr>
          <w:top w:val="nil"/>
          <w:left w:val="nil"/>
          <w:bottom w:val="nil"/>
          <w:right w:val="nil"/>
          <w:between w:val="nil"/>
        </w:pBdr>
        <w:spacing w:after="0" w:line="360" w:lineRule="auto"/>
        <w:ind w:firstLine="709"/>
        <w:rPr>
          <w:rFonts w:ascii="Arial" w:hAnsi="Arial" w:cs="Arial"/>
          <w:b/>
          <w:color w:val="000000"/>
          <w:sz w:val="24"/>
          <w:szCs w:val="24"/>
          <w:lang w:val="en-US"/>
        </w:rPr>
      </w:pPr>
      <w:r w:rsidRPr="00EC33C6">
        <w:rPr>
          <w:rFonts w:ascii="Arial" w:hAnsi="Arial" w:cs="Arial"/>
          <w:b/>
          <w:color w:val="000000"/>
          <w:sz w:val="24"/>
          <w:szCs w:val="24"/>
          <w:lang w:val="en-US"/>
        </w:rPr>
        <w:t xml:space="preserve">Inflammatory Myopathies </w:t>
      </w:r>
    </w:p>
    <w:p w14:paraId="5FFD7E31" w14:textId="77777777" w:rsidR="00495049" w:rsidRPr="00EC33C6" w:rsidRDefault="00495049" w:rsidP="00495049">
      <w:pPr>
        <w:widowControl w:val="0"/>
        <w:pBdr>
          <w:top w:val="nil"/>
          <w:left w:val="nil"/>
          <w:bottom w:val="nil"/>
          <w:right w:val="nil"/>
          <w:between w:val="nil"/>
        </w:pBdr>
        <w:spacing w:after="0" w:line="360" w:lineRule="auto"/>
        <w:ind w:firstLine="709"/>
        <w:jc w:val="both"/>
        <w:rPr>
          <w:rFonts w:ascii="Arial" w:hAnsi="Arial" w:cs="Arial"/>
          <w:color w:val="000000"/>
          <w:sz w:val="24"/>
          <w:szCs w:val="24"/>
          <w:lang w:val="en-US"/>
        </w:rPr>
      </w:pPr>
      <w:r w:rsidRPr="00EC33C6">
        <w:rPr>
          <w:rFonts w:ascii="Arial" w:hAnsi="Arial" w:cs="Arial"/>
          <w:color w:val="000000"/>
          <w:sz w:val="24"/>
          <w:szCs w:val="24"/>
          <w:lang w:val="en-US"/>
        </w:rPr>
        <w:t>Inflammatory myopathies constitute a heterogeneous group of muscle autoimmune diseases characterized by inflammation of skeletal muscle tissue, progressive proximal weakness, elevation of muscle enzymes such as creatine kinase (CK), and the presence of specific autoantibodies. In the post-COVID context, cases of dermatomyositis, autoimmune necrotizing myositis, and polymyositis have been described, with clinical manifestations that include intense muscle fatigue, difficulty climbing stairs, lifting objects, or holding the head up, as well as diffuse myalgia and, in some cases, interstitial lung involvement (Saudagar et al., 2021; Zhang et al., 2020). Studies such as those by Zhang et al., (2022) have documented patients with significant CK elevation, alterations compatible with inflammatory myopathy on muscle MRI, and positivity for autoantibodies such as anti-Mi-2, anti-SRP, and anti-TIF1</w:t>
      </w:r>
      <w:r w:rsidRPr="00495049">
        <w:rPr>
          <w:rFonts w:ascii="Arial" w:hAnsi="Arial" w:cs="Arial"/>
          <w:color w:val="000000"/>
          <w:sz w:val="24"/>
          <w:szCs w:val="24"/>
        </w:rPr>
        <w:t>γ</w:t>
      </w:r>
      <w:r w:rsidRPr="00EC33C6">
        <w:rPr>
          <w:rFonts w:ascii="Arial" w:hAnsi="Arial" w:cs="Arial"/>
          <w:color w:val="000000"/>
          <w:sz w:val="24"/>
          <w:szCs w:val="24"/>
          <w:lang w:val="en-US"/>
        </w:rPr>
        <w:t>, suggesting that SARS-CoV-2 infection may precipitate the activation of muscle-specific immune pathways. (</w:t>
      </w:r>
      <w:r w:rsidRPr="00EC33C6">
        <w:rPr>
          <w:rFonts w:ascii="Arial" w:hAnsi="Arial" w:cs="Arial"/>
          <w:b/>
          <w:color w:val="000000"/>
          <w:sz w:val="24"/>
          <w:szCs w:val="24"/>
          <w:lang w:val="en-US"/>
        </w:rPr>
        <w:t>Figure 1</w:t>
      </w:r>
      <w:r w:rsidRPr="00EC33C6">
        <w:rPr>
          <w:rFonts w:ascii="Arial" w:hAnsi="Arial" w:cs="Arial"/>
          <w:color w:val="000000"/>
          <w:sz w:val="24"/>
          <w:szCs w:val="24"/>
          <w:lang w:val="en-US"/>
        </w:rPr>
        <w:t xml:space="preserve">) </w:t>
      </w:r>
    </w:p>
    <w:p w14:paraId="1ADF0D39" w14:textId="77777777" w:rsidR="00495049" w:rsidRPr="00EC33C6" w:rsidRDefault="00495049" w:rsidP="00495049">
      <w:pPr>
        <w:widowControl w:val="0"/>
        <w:pBdr>
          <w:top w:val="nil"/>
          <w:left w:val="nil"/>
          <w:bottom w:val="nil"/>
          <w:right w:val="nil"/>
          <w:between w:val="nil"/>
        </w:pBdr>
        <w:spacing w:after="0" w:line="360" w:lineRule="auto"/>
        <w:ind w:firstLine="709"/>
        <w:jc w:val="both"/>
        <w:rPr>
          <w:rFonts w:ascii="Arial" w:hAnsi="Arial" w:cs="Arial"/>
          <w:color w:val="000000"/>
          <w:sz w:val="24"/>
          <w:szCs w:val="24"/>
          <w:lang w:val="en-US"/>
        </w:rPr>
      </w:pPr>
      <w:r w:rsidRPr="00EC33C6">
        <w:rPr>
          <w:rFonts w:ascii="Arial" w:hAnsi="Arial" w:cs="Arial"/>
          <w:color w:val="000000"/>
          <w:sz w:val="24"/>
          <w:szCs w:val="24"/>
          <w:lang w:val="en-US"/>
        </w:rPr>
        <w:t>Immunopathology involves CD8+ and CD4+ T cell activation, endomysial lymphocytic infiltration, increased expression of MHC class I in muscle fibers, and release of cytokines such as IL-6, TNF-</w:t>
      </w:r>
      <w:r w:rsidRPr="00495049">
        <w:rPr>
          <w:rFonts w:ascii="Arial" w:hAnsi="Arial" w:cs="Arial"/>
          <w:color w:val="000000"/>
          <w:sz w:val="24"/>
          <w:szCs w:val="24"/>
        </w:rPr>
        <w:t>α</w:t>
      </w:r>
      <w:r w:rsidRPr="00EC33C6">
        <w:rPr>
          <w:rFonts w:ascii="Arial" w:hAnsi="Arial" w:cs="Arial"/>
          <w:color w:val="000000"/>
          <w:sz w:val="24"/>
          <w:szCs w:val="24"/>
          <w:lang w:val="en-US"/>
        </w:rPr>
        <w:t>, and IFN-</w:t>
      </w:r>
      <w:r w:rsidRPr="00495049">
        <w:rPr>
          <w:rFonts w:ascii="Arial" w:hAnsi="Arial" w:cs="Arial"/>
          <w:color w:val="000000"/>
          <w:sz w:val="24"/>
          <w:szCs w:val="24"/>
        </w:rPr>
        <w:t>γ</w:t>
      </w:r>
      <w:r w:rsidRPr="00EC33C6">
        <w:rPr>
          <w:rFonts w:ascii="Arial" w:hAnsi="Arial" w:cs="Arial"/>
          <w:color w:val="000000"/>
          <w:sz w:val="24"/>
          <w:szCs w:val="24"/>
          <w:lang w:val="en-US"/>
        </w:rPr>
        <w:t xml:space="preserve">, in addition to the possible participation of molecular mimicry mechanisms between viral proteins and muscle antigens. In some cases, post-COVID myopathy evolves acutely and self-limitedly, while in others there is progression to chronic and debilitating forms, requiring prolonged immunosuppressive treatment (Saudagar et al., 2021; Zhang et al., 2020). </w:t>
      </w:r>
    </w:p>
    <w:p w14:paraId="7A0AFB00" w14:textId="77777777" w:rsidR="00495049" w:rsidRPr="00EC33C6" w:rsidRDefault="00495049" w:rsidP="00495049">
      <w:pPr>
        <w:widowControl w:val="0"/>
        <w:pBdr>
          <w:top w:val="nil"/>
          <w:left w:val="nil"/>
          <w:bottom w:val="nil"/>
          <w:right w:val="nil"/>
          <w:between w:val="nil"/>
        </w:pBdr>
        <w:spacing w:after="0" w:line="360" w:lineRule="auto"/>
        <w:ind w:firstLine="709"/>
        <w:jc w:val="both"/>
        <w:rPr>
          <w:rFonts w:ascii="Arial" w:hAnsi="Arial" w:cs="Arial"/>
          <w:color w:val="000000"/>
          <w:sz w:val="24"/>
          <w:szCs w:val="24"/>
          <w:lang w:val="en-US"/>
        </w:rPr>
      </w:pPr>
      <w:r w:rsidRPr="00EC33C6">
        <w:rPr>
          <w:rFonts w:ascii="Arial" w:hAnsi="Arial" w:cs="Arial"/>
          <w:color w:val="000000"/>
          <w:sz w:val="24"/>
          <w:szCs w:val="24"/>
          <w:lang w:val="en-US"/>
        </w:rPr>
        <w:t xml:space="preserve">Management includes systemic corticosteroids at immunosuppressive doses, plus corticosteroid-sparing agents such as methotrexate, azathioprine, or mycophenolate mofetil, and, in refractory cases, the use of intravenous immunoglobulin or rituximab may be considered. The clinical course depends on the extent of muscle involvement, the presence of specific autoantibodies, and the response to treatment, and continuous rheumatological and neuromuscular follow-up is essential. The importance of investigating inflammatory myopathies in post-COVID patients who have persistent muscle weakness, even in the absence of a previous history of autoimmune disease, is clear, especially when there is an elevation of muscle enzymes or suggestive electromyographic changes (Saudagar et al., 2021; Zhang et al., 2020). </w:t>
      </w:r>
    </w:p>
    <w:p w14:paraId="10066C47" w14:textId="77777777" w:rsidR="00495049" w:rsidRPr="00EC33C6" w:rsidRDefault="00495049" w:rsidP="00495049">
      <w:pPr>
        <w:widowControl w:val="0"/>
        <w:pBdr>
          <w:top w:val="nil"/>
          <w:left w:val="nil"/>
          <w:bottom w:val="nil"/>
          <w:right w:val="nil"/>
          <w:between w:val="nil"/>
        </w:pBdr>
        <w:spacing w:after="0" w:line="360" w:lineRule="auto"/>
        <w:ind w:firstLine="709"/>
        <w:jc w:val="both"/>
        <w:rPr>
          <w:rFonts w:ascii="Arial" w:hAnsi="Arial" w:cs="Arial"/>
          <w:color w:val="000000"/>
          <w:sz w:val="24"/>
          <w:szCs w:val="24"/>
          <w:lang w:val="en-US"/>
        </w:rPr>
      </w:pPr>
      <w:r w:rsidRPr="00EC33C6">
        <w:rPr>
          <w:rFonts w:ascii="Arial" w:hAnsi="Arial" w:cs="Arial"/>
          <w:b/>
          <w:color w:val="000000"/>
          <w:sz w:val="24"/>
          <w:szCs w:val="24"/>
          <w:lang w:val="en-US"/>
        </w:rPr>
        <w:t xml:space="preserve">Vasculitis and Antiphospholipid Syndrome (APS) </w:t>
      </w:r>
    </w:p>
    <w:p w14:paraId="6174A1BA" w14:textId="77777777" w:rsidR="00495049" w:rsidRPr="00EC33C6" w:rsidRDefault="00495049" w:rsidP="00495049">
      <w:pPr>
        <w:widowControl w:val="0"/>
        <w:pBdr>
          <w:top w:val="nil"/>
          <w:left w:val="nil"/>
          <w:bottom w:val="nil"/>
          <w:right w:val="nil"/>
          <w:between w:val="nil"/>
        </w:pBdr>
        <w:spacing w:after="0" w:line="360" w:lineRule="auto"/>
        <w:ind w:firstLine="709"/>
        <w:jc w:val="both"/>
        <w:rPr>
          <w:rFonts w:ascii="Arial" w:hAnsi="Arial" w:cs="Arial"/>
          <w:color w:val="000000"/>
          <w:sz w:val="24"/>
          <w:szCs w:val="24"/>
          <w:lang w:val="en-US"/>
        </w:rPr>
      </w:pPr>
      <w:r w:rsidRPr="00EC33C6">
        <w:rPr>
          <w:rFonts w:ascii="Arial" w:hAnsi="Arial" w:cs="Arial"/>
          <w:color w:val="000000"/>
          <w:sz w:val="24"/>
          <w:szCs w:val="24"/>
          <w:lang w:val="en-US"/>
        </w:rPr>
        <w:t xml:space="preserve">Autoimmune vasculitides and antiphospholipid syndrome (APS) have emerged as relevant manifestations in the post-COVID-19 spectrum, with increasing reports of systemic </w:t>
      </w:r>
      <w:r w:rsidRPr="00EC33C6">
        <w:rPr>
          <w:rFonts w:ascii="Arial" w:hAnsi="Arial" w:cs="Arial"/>
          <w:color w:val="000000"/>
          <w:sz w:val="24"/>
          <w:szCs w:val="24"/>
          <w:lang w:val="en-US"/>
        </w:rPr>
        <w:lastRenderedPageBreak/>
        <w:t xml:space="preserve">vascular inflammation and thromboembolic events in previously healthy patients. Antineutrophil cytoplasmic antibody (ANCA)-associated vasculitis, such as granulomatosis with polyangiitis and microscopic polyangiitis, have been described in post-COVID patients with renal, pulmonary, and cutaneous involvement, including hematuria, proteinuria, alveolar infiltrates, and palpable purpura, as reported by Uppal et al., (2021). </w:t>
      </w:r>
    </w:p>
    <w:p w14:paraId="526D56C7" w14:textId="77777777" w:rsidR="00495049" w:rsidRPr="00EC33C6" w:rsidRDefault="00495049" w:rsidP="00495049">
      <w:pPr>
        <w:widowControl w:val="0"/>
        <w:pBdr>
          <w:top w:val="nil"/>
          <w:left w:val="nil"/>
          <w:bottom w:val="nil"/>
          <w:right w:val="nil"/>
          <w:between w:val="nil"/>
        </w:pBdr>
        <w:spacing w:after="0" w:line="360" w:lineRule="auto"/>
        <w:ind w:firstLine="709"/>
        <w:jc w:val="both"/>
        <w:rPr>
          <w:rFonts w:ascii="Arial" w:hAnsi="Arial" w:cs="Arial"/>
          <w:color w:val="000000"/>
          <w:sz w:val="24"/>
          <w:szCs w:val="24"/>
          <w:lang w:val="en-US"/>
        </w:rPr>
      </w:pPr>
      <w:r w:rsidRPr="00EC33C6">
        <w:rPr>
          <w:rFonts w:ascii="Arial" w:hAnsi="Arial" w:cs="Arial"/>
          <w:color w:val="000000"/>
          <w:sz w:val="24"/>
          <w:szCs w:val="24"/>
          <w:lang w:val="en-US"/>
        </w:rPr>
        <w:t>Studies such as those by Chen et al., (2023) have identified positivity for anti-MPO and anti-PR3 ANCA in patients with severe vasculitic manifestations, suggesting that SARS-CoV-2 infection can induce neutrophil activation, NETs formation, and autoimmune antigen exposure, triggering the autoreactive response. (</w:t>
      </w:r>
      <w:r w:rsidRPr="00EC33C6">
        <w:rPr>
          <w:rFonts w:ascii="Arial" w:hAnsi="Arial" w:cs="Arial"/>
          <w:b/>
          <w:color w:val="000000"/>
          <w:sz w:val="24"/>
          <w:szCs w:val="24"/>
          <w:lang w:val="en-US"/>
        </w:rPr>
        <w:t>Figure 1</w:t>
      </w:r>
      <w:r w:rsidRPr="00EC33C6">
        <w:rPr>
          <w:rFonts w:ascii="Arial" w:hAnsi="Arial" w:cs="Arial"/>
          <w:color w:val="000000"/>
          <w:sz w:val="24"/>
          <w:szCs w:val="24"/>
          <w:lang w:val="en-US"/>
        </w:rPr>
        <w:t xml:space="preserve">) </w:t>
      </w:r>
    </w:p>
    <w:p w14:paraId="47A6F3F3" w14:textId="77777777" w:rsidR="00495049" w:rsidRPr="00EC33C6" w:rsidRDefault="00495049" w:rsidP="00495049">
      <w:pPr>
        <w:widowControl w:val="0"/>
        <w:pBdr>
          <w:top w:val="nil"/>
          <w:left w:val="nil"/>
          <w:bottom w:val="nil"/>
          <w:right w:val="nil"/>
          <w:between w:val="nil"/>
        </w:pBdr>
        <w:spacing w:after="0" w:line="360" w:lineRule="auto"/>
        <w:ind w:firstLine="709"/>
        <w:jc w:val="both"/>
        <w:rPr>
          <w:rFonts w:ascii="Arial" w:hAnsi="Arial" w:cs="Arial"/>
          <w:color w:val="000000"/>
          <w:sz w:val="24"/>
          <w:szCs w:val="24"/>
          <w:lang w:val="en-US"/>
        </w:rPr>
      </w:pPr>
      <w:r w:rsidRPr="00EC33C6">
        <w:rPr>
          <w:rFonts w:ascii="Arial" w:hAnsi="Arial" w:cs="Arial"/>
          <w:color w:val="000000"/>
          <w:sz w:val="24"/>
          <w:szCs w:val="24"/>
          <w:lang w:val="en-US"/>
        </w:rPr>
        <w:t>Immunopathology involves CD4+ T cell activation, IL-6, IL-8, and TNF-</w:t>
      </w:r>
      <w:r w:rsidRPr="00495049">
        <w:rPr>
          <w:rFonts w:ascii="Arial" w:hAnsi="Arial" w:cs="Arial"/>
          <w:color w:val="000000"/>
          <w:sz w:val="24"/>
          <w:szCs w:val="24"/>
        </w:rPr>
        <w:t>α</w:t>
      </w:r>
      <w:r w:rsidRPr="00EC33C6">
        <w:rPr>
          <w:rFonts w:ascii="Arial" w:hAnsi="Arial" w:cs="Arial"/>
          <w:color w:val="000000"/>
          <w:sz w:val="24"/>
          <w:szCs w:val="24"/>
          <w:lang w:val="en-US"/>
        </w:rPr>
        <w:t xml:space="preserve"> production, and cytokine and autoantibody-mediated endothelial damage. At the same time, APS has been observed in patients with recurrent arterial and venous thrombotic events, such as stroke, pulmonary embolism, and deep vein thrombosis, with positivity for anticardiolipin, anti-</w:t>
      </w:r>
      <w:r w:rsidRPr="00495049">
        <w:rPr>
          <w:rFonts w:ascii="Arial" w:hAnsi="Arial" w:cs="Arial"/>
          <w:color w:val="000000"/>
          <w:sz w:val="24"/>
          <w:szCs w:val="24"/>
        </w:rPr>
        <w:t>β</w:t>
      </w:r>
      <w:r w:rsidRPr="00EC33C6">
        <w:rPr>
          <w:rFonts w:ascii="Arial" w:hAnsi="Arial" w:cs="Arial"/>
          <w:color w:val="000000"/>
          <w:sz w:val="24"/>
          <w:szCs w:val="24"/>
          <w:lang w:val="en-US"/>
        </w:rPr>
        <w:t>2-glycoprotein I, and lupus anticoagulant antibodies (Cavalli et al., 2020). Bastard et al., (2020) and other authors suggest that the cytokine storm induced by COVID-19, associated with endothelial activation and platelet dysfunction, creates a prothrombotic environment that favors thrombus formation even in young patients without traditional risk factors. (</w:t>
      </w:r>
      <w:r w:rsidRPr="00EC33C6">
        <w:rPr>
          <w:rFonts w:ascii="Arial" w:hAnsi="Arial" w:cs="Arial"/>
          <w:b/>
          <w:color w:val="000000"/>
          <w:sz w:val="24"/>
          <w:szCs w:val="24"/>
          <w:lang w:val="en-US"/>
        </w:rPr>
        <w:t>Figure 1</w:t>
      </w:r>
      <w:r w:rsidRPr="00EC33C6">
        <w:rPr>
          <w:rFonts w:ascii="Arial" w:hAnsi="Arial" w:cs="Arial"/>
          <w:color w:val="000000"/>
          <w:sz w:val="24"/>
          <w:szCs w:val="24"/>
          <w:lang w:val="en-US"/>
        </w:rPr>
        <w:t xml:space="preserve">) </w:t>
      </w:r>
    </w:p>
    <w:p w14:paraId="6AE97B14" w14:textId="77777777" w:rsidR="00495049" w:rsidRPr="00EC33C6" w:rsidRDefault="00495049" w:rsidP="00495049">
      <w:pPr>
        <w:widowControl w:val="0"/>
        <w:pBdr>
          <w:top w:val="nil"/>
          <w:left w:val="nil"/>
          <w:bottom w:val="nil"/>
          <w:right w:val="nil"/>
          <w:between w:val="nil"/>
        </w:pBdr>
        <w:spacing w:after="0" w:line="360" w:lineRule="auto"/>
        <w:ind w:firstLine="709"/>
        <w:jc w:val="both"/>
        <w:rPr>
          <w:rFonts w:ascii="Arial" w:hAnsi="Arial" w:cs="Arial"/>
          <w:color w:val="000000"/>
          <w:sz w:val="24"/>
          <w:szCs w:val="24"/>
          <w:lang w:val="en-US"/>
        </w:rPr>
      </w:pPr>
      <w:r w:rsidRPr="00EC33C6">
        <w:rPr>
          <w:rFonts w:ascii="Arial" w:hAnsi="Arial" w:cs="Arial"/>
          <w:color w:val="000000"/>
          <w:sz w:val="24"/>
          <w:szCs w:val="24"/>
          <w:lang w:val="en-US"/>
        </w:rPr>
        <w:t xml:space="preserve">Treatment of vasculitis includes high-dose corticosteroids, immunosuppressants such as cyclophosphamide or rituximab, and, in severe cases, plasmapheresis. APS, on the other hand, requires full anticoagulation with warfarin or direct anticoagulants, in addition to periodic immunological evaluation. The clinical course depends on the extent of vascular involvement, response to treatment, and the presence of associated autoimmune comorbidities. Vascular and hematological screening is essential in post-COVID patients with symptoms such as dyspnea, chest pain, hemoptysis, lower limb edema, or sudden neurological changes, especially when there is laboratory evidence of systemic inflammation or hypercoagulability (Cavalli et al., 2020). </w:t>
      </w:r>
    </w:p>
    <w:p w14:paraId="656D68D3" w14:textId="77777777" w:rsidR="00495049" w:rsidRPr="00EC33C6" w:rsidRDefault="00495049" w:rsidP="00495049">
      <w:pPr>
        <w:widowControl w:val="0"/>
        <w:pBdr>
          <w:top w:val="nil"/>
          <w:left w:val="nil"/>
          <w:bottom w:val="nil"/>
          <w:right w:val="nil"/>
          <w:between w:val="nil"/>
        </w:pBdr>
        <w:spacing w:after="0" w:line="360" w:lineRule="auto"/>
        <w:ind w:firstLine="709"/>
        <w:jc w:val="both"/>
        <w:rPr>
          <w:rFonts w:ascii="Arial" w:hAnsi="Arial" w:cs="Arial"/>
          <w:color w:val="000000"/>
          <w:sz w:val="24"/>
          <w:szCs w:val="24"/>
          <w:lang w:val="en-US"/>
        </w:rPr>
      </w:pPr>
      <w:r w:rsidRPr="00EC33C6">
        <w:rPr>
          <w:rFonts w:ascii="Arial" w:hAnsi="Arial" w:cs="Arial"/>
          <w:b/>
          <w:color w:val="000000"/>
          <w:sz w:val="24"/>
          <w:szCs w:val="24"/>
          <w:lang w:val="en-US"/>
        </w:rPr>
        <w:t>Other Emerging Autoimmune Manifestations</w:t>
      </w:r>
    </w:p>
    <w:p w14:paraId="1843EB3A" w14:textId="77777777" w:rsidR="00495049" w:rsidRPr="00EC33C6" w:rsidRDefault="00495049" w:rsidP="00495049">
      <w:pPr>
        <w:widowControl w:val="0"/>
        <w:pBdr>
          <w:top w:val="nil"/>
          <w:left w:val="nil"/>
          <w:bottom w:val="nil"/>
          <w:right w:val="nil"/>
          <w:between w:val="nil"/>
        </w:pBdr>
        <w:spacing w:after="0" w:line="360" w:lineRule="auto"/>
        <w:ind w:firstLine="709"/>
        <w:jc w:val="both"/>
        <w:rPr>
          <w:rFonts w:ascii="Arial" w:hAnsi="Arial" w:cs="Arial"/>
          <w:color w:val="000000"/>
          <w:sz w:val="24"/>
          <w:szCs w:val="24"/>
          <w:lang w:val="en-US"/>
        </w:rPr>
      </w:pPr>
      <w:r w:rsidRPr="00EC33C6">
        <w:rPr>
          <w:rFonts w:ascii="Arial" w:hAnsi="Arial" w:cs="Arial"/>
          <w:color w:val="000000"/>
          <w:sz w:val="24"/>
          <w:szCs w:val="24"/>
          <w:lang w:val="en-US"/>
        </w:rPr>
        <w:t xml:space="preserve">In addition to the autoimmune diseases that are better characterized in the post-COVID context, several reports have documented emerging manifestations that, although less prevalent, have significant clinical and immunological relevance. Among them, cases of idiopathic thrombocytopenic purpura (ITP) stand out, characterized by an abrupt drop in platelets, spontaneous ecchymosis, and hemorrhagic risk, with positivity for antiplatelet antibodies and a good response to corticosteroid therapy or intravenous immunoglobulin (Lopes et al., 2021). </w:t>
      </w:r>
    </w:p>
    <w:p w14:paraId="00A3D9CE" w14:textId="77777777" w:rsidR="00495049" w:rsidRPr="00EC33C6" w:rsidRDefault="00495049" w:rsidP="00495049">
      <w:pPr>
        <w:widowControl w:val="0"/>
        <w:pBdr>
          <w:top w:val="nil"/>
          <w:left w:val="nil"/>
          <w:bottom w:val="nil"/>
          <w:right w:val="nil"/>
          <w:between w:val="nil"/>
        </w:pBdr>
        <w:spacing w:after="0" w:line="360" w:lineRule="auto"/>
        <w:ind w:firstLine="709"/>
        <w:jc w:val="both"/>
        <w:rPr>
          <w:rFonts w:ascii="Arial" w:hAnsi="Arial" w:cs="Arial"/>
          <w:color w:val="000000"/>
          <w:sz w:val="24"/>
          <w:szCs w:val="24"/>
          <w:lang w:val="en-US"/>
        </w:rPr>
      </w:pPr>
      <w:r w:rsidRPr="00EC33C6">
        <w:rPr>
          <w:rFonts w:ascii="Arial" w:hAnsi="Arial" w:cs="Arial"/>
          <w:color w:val="000000"/>
          <w:sz w:val="24"/>
          <w:szCs w:val="24"/>
          <w:lang w:val="en-US"/>
        </w:rPr>
        <w:t xml:space="preserve">Autoimmune hemolytic anemia has also been described, with the presence of a </w:t>
      </w:r>
      <w:r w:rsidRPr="00EC33C6">
        <w:rPr>
          <w:rFonts w:ascii="Arial" w:hAnsi="Arial" w:cs="Arial"/>
          <w:color w:val="000000"/>
          <w:sz w:val="24"/>
          <w:szCs w:val="24"/>
          <w:lang w:val="en-US"/>
        </w:rPr>
        <w:lastRenderedPageBreak/>
        <w:t xml:space="preserve">positive direct Coombs test, reticulocytosis, and hyperbilirubinemia, suggesting autoantibody-mediated red blood cell destruction (Cabral-Marques et al., 2023). </w:t>
      </w:r>
    </w:p>
    <w:p w14:paraId="28E75D20" w14:textId="77777777" w:rsidR="00495049" w:rsidRPr="00EC33C6" w:rsidRDefault="00495049" w:rsidP="00495049">
      <w:pPr>
        <w:widowControl w:val="0"/>
        <w:pBdr>
          <w:top w:val="nil"/>
          <w:left w:val="nil"/>
          <w:bottom w:val="nil"/>
          <w:right w:val="nil"/>
          <w:between w:val="nil"/>
        </w:pBdr>
        <w:spacing w:after="0" w:line="360" w:lineRule="auto"/>
        <w:ind w:firstLine="709"/>
        <w:jc w:val="both"/>
        <w:rPr>
          <w:rFonts w:ascii="Arial" w:hAnsi="Arial" w:cs="Arial"/>
          <w:color w:val="000000"/>
          <w:sz w:val="24"/>
          <w:szCs w:val="24"/>
          <w:lang w:val="en-US"/>
        </w:rPr>
      </w:pPr>
      <w:r w:rsidRPr="00EC33C6">
        <w:rPr>
          <w:rFonts w:ascii="Arial" w:hAnsi="Arial" w:cs="Arial"/>
          <w:color w:val="000000"/>
          <w:sz w:val="24"/>
          <w:szCs w:val="24"/>
          <w:lang w:val="en-US"/>
        </w:rPr>
        <w:t xml:space="preserve">In patients with dermatological manifestations, the emergence of new-onset psoriasis or exacerbation of pre-existing forms was observed, as well as cases of lichen planus and vitiligo, possibly related to the activation of Th1 and Th17 pathways and the dysregulation of skin immunity (Zhao et al., 2021). </w:t>
      </w:r>
    </w:p>
    <w:p w14:paraId="4EEC4B53" w14:textId="77777777" w:rsidR="00495049" w:rsidRPr="00EC33C6" w:rsidRDefault="00495049" w:rsidP="00495049">
      <w:pPr>
        <w:widowControl w:val="0"/>
        <w:pBdr>
          <w:top w:val="nil"/>
          <w:left w:val="nil"/>
          <w:bottom w:val="nil"/>
          <w:right w:val="nil"/>
          <w:between w:val="nil"/>
        </w:pBdr>
        <w:spacing w:after="0" w:line="360" w:lineRule="auto"/>
        <w:ind w:firstLine="709"/>
        <w:jc w:val="both"/>
        <w:rPr>
          <w:rFonts w:ascii="Arial" w:hAnsi="Arial" w:cs="Arial"/>
          <w:color w:val="000000"/>
          <w:sz w:val="24"/>
          <w:szCs w:val="24"/>
          <w:lang w:val="en-US"/>
        </w:rPr>
      </w:pPr>
      <w:r w:rsidRPr="00EC33C6">
        <w:rPr>
          <w:rFonts w:ascii="Arial" w:hAnsi="Arial" w:cs="Arial"/>
          <w:color w:val="000000"/>
          <w:sz w:val="24"/>
          <w:szCs w:val="24"/>
          <w:lang w:val="en-US"/>
        </w:rPr>
        <w:t xml:space="preserve">From a gastrointestinal perspective, there have been reports of autoimmune colitis and post-COVID celiac disease, with anti-transglutaminase positivity and villous atrophy in duodenal biopsies, especially in patients with genetic predisposition (HLA-DQ2/DQ8) (Zuo et al., 2020). </w:t>
      </w:r>
    </w:p>
    <w:p w14:paraId="5A12850E" w14:textId="77777777" w:rsidR="00495049" w:rsidRPr="00EC33C6" w:rsidRDefault="00495049" w:rsidP="00495049">
      <w:pPr>
        <w:widowControl w:val="0"/>
        <w:pBdr>
          <w:top w:val="nil"/>
          <w:left w:val="nil"/>
          <w:bottom w:val="nil"/>
          <w:right w:val="nil"/>
          <w:between w:val="nil"/>
        </w:pBdr>
        <w:spacing w:after="0" w:line="360" w:lineRule="auto"/>
        <w:ind w:firstLine="709"/>
        <w:jc w:val="both"/>
        <w:rPr>
          <w:rFonts w:ascii="Arial" w:hAnsi="Arial" w:cs="Arial"/>
          <w:color w:val="000000"/>
          <w:sz w:val="24"/>
          <w:szCs w:val="24"/>
          <w:lang w:val="en-US"/>
        </w:rPr>
      </w:pPr>
      <w:r w:rsidRPr="00EC33C6">
        <w:rPr>
          <w:rFonts w:ascii="Arial" w:hAnsi="Arial" w:cs="Arial"/>
          <w:color w:val="000000"/>
          <w:sz w:val="24"/>
          <w:szCs w:val="24"/>
          <w:lang w:val="en-US"/>
        </w:rPr>
        <w:t xml:space="preserve">In some cases, COVID-19 seems to have precipitated the onset of rare autoimmune diseases, such as Sjögren's syndrome, with xerostomia, xerophthalmia, and anti-Ro/SSA positivity, or even myasthenia gravis, with fluctuating muscle weakness and the presence of anti-acetylcholine receptor antibodies (Gomes et al., 2021). </w:t>
      </w:r>
    </w:p>
    <w:p w14:paraId="138760C6" w14:textId="77777777" w:rsidR="00495049" w:rsidRPr="00EC33C6" w:rsidRDefault="00495049" w:rsidP="00495049">
      <w:pPr>
        <w:widowControl w:val="0"/>
        <w:pBdr>
          <w:top w:val="nil"/>
          <w:left w:val="nil"/>
          <w:bottom w:val="nil"/>
          <w:right w:val="nil"/>
          <w:between w:val="nil"/>
        </w:pBdr>
        <w:spacing w:after="0" w:line="360" w:lineRule="auto"/>
        <w:ind w:firstLine="709"/>
        <w:jc w:val="both"/>
        <w:rPr>
          <w:rFonts w:ascii="Arial" w:hAnsi="Arial" w:cs="Arial"/>
          <w:color w:val="000000"/>
          <w:sz w:val="24"/>
          <w:szCs w:val="24"/>
          <w:lang w:val="en-US"/>
        </w:rPr>
      </w:pPr>
      <w:r w:rsidRPr="00EC33C6">
        <w:rPr>
          <w:rFonts w:ascii="Arial" w:hAnsi="Arial" w:cs="Arial"/>
          <w:color w:val="000000"/>
          <w:sz w:val="24"/>
          <w:szCs w:val="24"/>
          <w:lang w:val="en-US"/>
        </w:rPr>
        <w:t>The diversity of these manifestations suggests that SARS-CoV-2 can act as a potent immune modulator, capable of interfering with multiple axes of immune tolerance, whether by molecular mimicry, bystander activation, NETs formation, or epigenetic reprogramming of immune cells (Luchese and Floel</w:t>
      </w:r>
      <w:r w:rsidRPr="00EC33C6">
        <w:rPr>
          <w:rFonts w:ascii="Arial" w:hAnsi="Arial" w:cs="Arial"/>
          <w:sz w:val="24"/>
          <w:szCs w:val="24"/>
          <w:lang w:val="en-US"/>
        </w:rPr>
        <w:t>,</w:t>
      </w:r>
      <w:r w:rsidRPr="00EC33C6">
        <w:rPr>
          <w:rFonts w:ascii="Arial" w:hAnsi="Arial" w:cs="Arial"/>
          <w:color w:val="000000"/>
          <w:sz w:val="24"/>
          <w:szCs w:val="24"/>
          <w:lang w:val="en-US"/>
        </w:rPr>
        <w:t xml:space="preserve"> 2020). Early recognition of these conditions is essential to avoid systemic complications and ensure appropriate treatment, and it is recommended that post-COVID patients with persistent or unexplained symptoms be evaluated by specialists in clinical immunology, rheumatology, or other related areas.</w:t>
      </w:r>
    </w:p>
    <w:p w14:paraId="7DE3E30B" w14:textId="77777777" w:rsidR="00495049" w:rsidRPr="00EC33C6" w:rsidRDefault="00495049" w:rsidP="00495049">
      <w:pPr>
        <w:widowControl w:val="0"/>
        <w:pBdr>
          <w:top w:val="nil"/>
          <w:left w:val="nil"/>
          <w:bottom w:val="nil"/>
          <w:right w:val="nil"/>
          <w:between w:val="nil"/>
        </w:pBdr>
        <w:spacing w:after="0" w:line="360" w:lineRule="auto"/>
        <w:rPr>
          <w:rFonts w:ascii="Arial" w:hAnsi="Arial" w:cs="Arial"/>
          <w:b/>
          <w:color w:val="000000"/>
          <w:sz w:val="24"/>
          <w:szCs w:val="24"/>
          <w:lang w:val="en-US"/>
        </w:rPr>
      </w:pPr>
    </w:p>
    <w:p w14:paraId="2EE71ADD" w14:textId="0FBA1D6A" w:rsidR="00495049" w:rsidRPr="00EC33C6" w:rsidRDefault="00495049" w:rsidP="00495049">
      <w:pPr>
        <w:widowControl w:val="0"/>
        <w:pBdr>
          <w:top w:val="nil"/>
          <w:left w:val="nil"/>
          <w:bottom w:val="nil"/>
          <w:right w:val="nil"/>
          <w:between w:val="nil"/>
        </w:pBdr>
        <w:spacing w:after="0" w:line="360" w:lineRule="auto"/>
        <w:rPr>
          <w:rFonts w:ascii="Arial" w:hAnsi="Arial" w:cs="Arial"/>
          <w:bCs/>
          <w:color w:val="2F5496"/>
          <w:sz w:val="24"/>
          <w:szCs w:val="24"/>
          <w:lang w:val="en-US"/>
        </w:rPr>
      </w:pPr>
      <w:r w:rsidRPr="00EC33C6">
        <w:rPr>
          <w:rFonts w:ascii="Arial" w:hAnsi="Arial" w:cs="Arial"/>
          <w:bCs/>
          <w:color w:val="2F5496"/>
          <w:sz w:val="24"/>
          <w:szCs w:val="24"/>
          <w:lang w:val="en-US"/>
        </w:rPr>
        <w:t xml:space="preserve">2.4 CLINICAL AND THERAPEUTIC IMPLICATIONS </w:t>
      </w:r>
    </w:p>
    <w:p w14:paraId="72FE554B" w14:textId="77777777" w:rsidR="00495049" w:rsidRPr="00EC33C6" w:rsidRDefault="00495049" w:rsidP="00495049">
      <w:pPr>
        <w:widowControl w:val="0"/>
        <w:pBdr>
          <w:top w:val="nil"/>
          <w:left w:val="nil"/>
          <w:bottom w:val="nil"/>
          <w:right w:val="nil"/>
          <w:between w:val="nil"/>
        </w:pBdr>
        <w:spacing w:after="0" w:line="360" w:lineRule="auto"/>
        <w:ind w:firstLine="709"/>
        <w:jc w:val="both"/>
        <w:rPr>
          <w:rFonts w:ascii="Arial" w:hAnsi="Arial" w:cs="Arial"/>
          <w:color w:val="000000"/>
          <w:sz w:val="24"/>
          <w:szCs w:val="24"/>
          <w:lang w:val="en-US"/>
        </w:rPr>
      </w:pPr>
      <w:r w:rsidRPr="00EC33C6">
        <w:rPr>
          <w:rFonts w:ascii="Arial" w:hAnsi="Arial" w:cs="Arial"/>
          <w:color w:val="000000"/>
          <w:sz w:val="24"/>
          <w:szCs w:val="24"/>
          <w:lang w:val="en-US"/>
        </w:rPr>
        <w:t xml:space="preserve">The recognition of COVID-19 as a potential trigger of autoimmune diseases imposes a review of traditional clinical paradigms, requiring health professionals to take a more vigilant, multidisciplinary, and personalized approach. The diversity of post-COVID autoimmune manifestations, which includes acute neurological syndromes, such as GBS (Abu-Rumeilhe et al., 2020), to complex systemic diseases such as SLE (Gomes et al., 2021), APS (Bastard et al., 2020) and inflammatory myopathies (Zhang et al., 2022) requires expanded immunological screening protocols, even in patients who had mild forms of the viral infection. Early identification of autoantibodies, inflammatory laboratory abnormalities, and persistent symptoms should guide the diagnostic investigation, avoiding therapeutic delays and preventing irreversible complications. </w:t>
      </w:r>
    </w:p>
    <w:p w14:paraId="221B0340" w14:textId="77777777" w:rsidR="00495049" w:rsidRPr="00EC33C6" w:rsidRDefault="00495049" w:rsidP="00495049">
      <w:pPr>
        <w:widowControl w:val="0"/>
        <w:pBdr>
          <w:top w:val="nil"/>
          <w:left w:val="nil"/>
          <w:bottom w:val="nil"/>
          <w:right w:val="nil"/>
          <w:between w:val="nil"/>
        </w:pBdr>
        <w:spacing w:after="0" w:line="360" w:lineRule="auto"/>
        <w:ind w:firstLine="709"/>
        <w:jc w:val="both"/>
        <w:rPr>
          <w:rFonts w:ascii="Arial" w:hAnsi="Arial" w:cs="Arial"/>
          <w:color w:val="000000"/>
          <w:sz w:val="24"/>
          <w:szCs w:val="24"/>
          <w:lang w:val="en-US"/>
        </w:rPr>
      </w:pPr>
      <w:r w:rsidRPr="00EC33C6">
        <w:rPr>
          <w:rFonts w:ascii="Arial" w:hAnsi="Arial" w:cs="Arial"/>
          <w:color w:val="000000"/>
          <w:sz w:val="24"/>
          <w:szCs w:val="24"/>
          <w:lang w:val="en-US"/>
        </w:rPr>
        <w:t xml:space="preserve">From a therapeutic point of view, the management of post-COVID autoimmune diseases largely follows conventional protocols, with the use of corticosteroids, </w:t>
      </w:r>
      <w:r w:rsidRPr="00EC33C6">
        <w:rPr>
          <w:rFonts w:ascii="Arial" w:hAnsi="Arial" w:cs="Arial"/>
          <w:color w:val="000000"/>
          <w:sz w:val="24"/>
          <w:szCs w:val="24"/>
          <w:lang w:val="en-US"/>
        </w:rPr>
        <w:lastRenderedPageBreak/>
        <w:t xml:space="preserve">immunosuppressants, and biological agents, adjusted according to the severity and the organ affected (Muller et al., 2020; Marchand et al., 2022). However, the presence of residual inflammation, endothelial dysfunction, and elevated thrombotic risk in many post-COVID patients requires special attention to the choice and monitoring of therapies. For example, in patients with APS or vasculitis, anticoagulation should be started early and strictly maintained (Chen et al., 2023), while in autoimmune neurological conditions, such as MS or GBS, intravenous immunoglobulin and plasmapheresis have shown efficacy but require specialized hospital support (Finsterer et al., 2021). </w:t>
      </w:r>
    </w:p>
    <w:p w14:paraId="01588266" w14:textId="77777777" w:rsidR="00495049" w:rsidRPr="00EC33C6" w:rsidRDefault="00495049" w:rsidP="00495049">
      <w:pPr>
        <w:widowControl w:val="0"/>
        <w:pBdr>
          <w:top w:val="nil"/>
          <w:left w:val="nil"/>
          <w:bottom w:val="nil"/>
          <w:right w:val="nil"/>
          <w:between w:val="nil"/>
        </w:pBdr>
        <w:spacing w:after="0" w:line="360" w:lineRule="auto"/>
        <w:ind w:firstLine="709"/>
        <w:jc w:val="both"/>
        <w:rPr>
          <w:rFonts w:ascii="Arial" w:hAnsi="Arial" w:cs="Arial"/>
          <w:color w:val="000000"/>
          <w:sz w:val="24"/>
          <w:szCs w:val="24"/>
          <w:lang w:val="en-US"/>
        </w:rPr>
      </w:pPr>
      <w:r w:rsidRPr="00EC33C6">
        <w:rPr>
          <w:rFonts w:ascii="Arial" w:hAnsi="Arial" w:cs="Arial"/>
          <w:color w:val="000000"/>
          <w:sz w:val="24"/>
          <w:szCs w:val="24"/>
          <w:lang w:val="en-US"/>
        </w:rPr>
        <w:t xml:space="preserve">In addition, the coexistence of multiple autoimmune manifestations in the same patient, such as thyroiditis associated with type 1 diabetes (Marchand et al., 2022) or arthritis with vasculitic phenomena, reinforces the need for an integrated approach between endocrinologists, rheumatologists, neurologists, and clinical immunologists. Longitudinal follow-up is essential, not only for disease control, but also for surveillance of new autoimmune phenotypes that may emerge over time. Patient education about warning signs, treatment adherence, and self-care becomes a central component of the therapeutic strategy (Marchand et al., 2022; Vojdani &amp; Kharrazian 2020). </w:t>
      </w:r>
    </w:p>
    <w:p w14:paraId="3B8F35DB" w14:textId="77777777" w:rsidR="00495049" w:rsidRPr="00EC33C6" w:rsidRDefault="00495049" w:rsidP="00495049">
      <w:pPr>
        <w:widowControl w:val="0"/>
        <w:pBdr>
          <w:top w:val="nil"/>
          <w:left w:val="nil"/>
          <w:bottom w:val="nil"/>
          <w:right w:val="nil"/>
          <w:between w:val="nil"/>
        </w:pBdr>
        <w:spacing w:after="0" w:line="360" w:lineRule="auto"/>
        <w:ind w:firstLine="709"/>
        <w:jc w:val="both"/>
        <w:rPr>
          <w:rFonts w:ascii="Arial" w:hAnsi="Arial" w:cs="Arial"/>
          <w:color w:val="000000"/>
          <w:sz w:val="24"/>
          <w:szCs w:val="24"/>
          <w:lang w:val="en-US"/>
        </w:rPr>
      </w:pPr>
      <w:r w:rsidRPr="00EC33C6">
        <w:rPr>
          <w:rFonts w:ascii="Arial" w:hAnsi="Arial" w:cs="Arial"/>
          <w:color w:val="000000"/>
          <w:sz w:val="24"/>
          <w:szCs w:val="24"/>
          <w:lang w:val="en-US"/>
        </w:rPr>
        <w:t>Finally, the pandemic has brought to light the importance of population immunosurveillance. Incorporating immunological markers into post-COVID protocols, creating clinical registries of emerging autoimmune diseases, and investing in translational research are key measures to understand the true extent of the immunological impact of SARS-CoV-2 (Zuo et al., 2020; Lucchese and Floel, 2020). Post-pandemic medicine requires not only technical knowledge, but also clinical sensitivity and the ability to adapt to an ever-changing immunological landscape. (</w:t>
      </w:r>
      <w:r w:rsidRPr="00EC33C6">
        <w:rPr>
          <w:rFonts w:ascii="Arial" w:hAnsi="Arial" w:cs="Arial"/>
          <w:b/>
          <w:color w:val="000000"/>
          <w:sz w:val="24"/>
          <w:szCs w:val="24"/>
          <w:lang w:val="en-US"/>
        </w:rPr>
        <w:t>Figure 1</w:t>
      </w:r>
      <w:r w:rsidRPr="00EC33C6">
        <w:rPr>
          <w:rFonts w:ascii="Arial" w:hAnsi="Arial" w:cs="Arial"/>
          <w:color w:val="000000"/>
          <w:sz w:val="24"/>
          <w:szCs w:val="24"/>
          <w:lang w:val="en-US"/>
        </w:rPr>
        <w:t xml:space="preserve">) </w:t>
      </w:r>
    </w:p>
    <w:p w14:paraId="14BE2C6C" w14:textId="77777777" w:rsidR="00495049" w:rsidRPr="00EC33C6" w:rsidRDefault="00495049" w:rsidP="00495049">
      <w:pPr>
        <w:widowControl w:val="0"/>
        <w:spacing w:after="0" w:line="360" w:lineRule="auto"/>
        <w:rPr>
          <w:rFonts w:ascii="Arial" w:hAnsi="Arial" w:cs="Arial"/>
          <w:b/>
          <w:sz w:val="24"/>
          <w:szCs w:val="24"/>
          <w:lang w:val="en-US"/>
        </w:rPr>
      </w:pPr>
    </w:p>
    <w:p w14:paraId="0011F23F" w14:textId="5EA8E567" w:rsidR="00495049" w:rsidRPr="00EC33C6" w:rsidRDefault="00495049" w:rsidP="00495049">
      <w:pPr>
        <w:widowControl w:val="0"/>
        <w:spacing w:after="0" w:line="360" w:lineRule="auto"/>
        <w:rPr>
          <w:rFonts w:ascii="Arial" w:hAnsi="Arial" w:cs="Arial"/>
          <w:bCs/>
          <w:color w:val="2F5496"/>
          <w:sz w:val="24"/>
          <w:szCs w:val="24"/>
          <w:lang w:val="en-US"/>
        </w:rPr>
      </w:pPr>
      <w:r w:rsidRPr="00EC33C6">
        <w:rPr>
          <w:rFonts w:ascii="Arial" w:hAnsi="Arial" w:cs="Arial"/>
          <w:bCs/>
          <w:color w:val="2F5496"/>
          <w:sz w:val="24"/>
          <w:szCs w:val="24"/>
          <w:lang w:val="en-US"/>
        </w:rPr>
        <w:t xml:space="preserve">2.5 THE ROLE OF VACCINES: PROTECTION OR TRIGGER? </w:t>
      </w:r>
    </w:p>
    <w:p w14:paraId="4B87181A" w14:textId="77777777" w:rsidR="00495049" w:rsidRPr="00EC33C6" w:rsidRDefault="00495049" w:rsidP="00495049">
      <w:pPr>
        <w:widowControl w:val="0"/>
        <w:spacing w:after="0" w:line="360" w:lineRule="auto"/>
        <w:ind w:firstLine="709"/>
        <w:jc w:val="both"/>
        <w:rPr>
          <w:rFonts w:ascii="Arial" w:hAnsi="Arial" w:cs="Arial"/>
          <w:sz w:val="24"/>
          <w:szCs w:val="24"/>
          <w:lang w:val="en-US"/>
        </w:rPr>
      </w:pPr>
      <w:r w:rsidRPr="00EC33C6">
        <w:rPr>
          <w:rFonts w:ascii="Arial" w:hAnsi="Arial" w:cs="Arial"/>
          <w:sz w:val="24"/>
          <w:szCs w:val="24"/>
          <w:lang w:val="en-US"/>
        </w:rPr>
        <w:t xml:space="preserve">Although isolated cases of post-vaccination autoimmunity have been recorded, such as myocarditis, POTS, and thyroiditis, the frequency of these events is low and generally self-limiting. Kaur et al., (2023) reported mild myocarditis in young people after mRNA vaccine, with spontaneous resolution. Blitshteyn et al., (2022) documented POTS in vaccinated patients, with transient autonomic symptoms. Chen et al., (2023) reviewed cases of vasculitis, SLE, and post-vaccination antiphospholipid syndrome, but highlighted that most patients had a genetic predisposition or an autoimmune history. </w:t>
      </w:r>
    </w:p>
    <w:p w14:paraId="18B486A6" w14:textId="77777777" w:rsidR="00495049" w:rsidRPr="00EC33C6" w:rsidRDefault="00495049" w:rsidP="00495049">
      <w:pPr>
        <w:widowControl w:val="0"/>
        <w:spacing w:after="0" w:line="360" w:lineRule="auto"/>
        <w:ind w:firstLine="709"/>
        <w:jc w:val="both"/>
        <w:rPr>
          <w:rFonts w:ascii="Arial" w:hAnsi="Arial" w:cs="Arial"/>
          <w:sz w:val="24"/>
          <w:szCs w:val="24"/>
          <w:lang w:val="en-US"/>
        </w:rPr>
      </w:pPr>
      <w:r w:rsidRPr="00EC33C6">
        <w:rPr>
          <w:rFonts w:ascii="Arial" w:hAnsi="Arial" w:cs="Arial"/>
          <w:sz w:val="24"/>
          <w:szCs w:val="24"/>
          <w:lang w:val="en-US"/>
        </w:rPr>
        <w:t xml:space="preserve">Therefore, as demonstrated by the studies by Barda et al., (2021), the risk of autoimmune diseases is significantly higher after natural infection than after vaccination. Immunization remains a safe and effective strategy, with benefits that far outweigh the </w:t>
      </w:r>
      <w:r w:rsidRPr="00EC33C6">
        <w:rPr>
          <w:rFonts w:ascii="Arial" w:hAnsi="Arial" w:cs="Arial"/>
          <w:sz w:val="24"/>
          <w:szCs w:val="24"/>
          <w:lang w:val="en-US"/>
        </w:rPr>
        <w:lastRenderedPageBreak/>
        <w:t>potential risks (</w:t>
      </w:r>
      <w:r w:rsidRPr="00EC33C6">
        <w:rPr>
          <w:rFonts w:ascii="Arial" w:hAnsi="Arial" w:cs="Arial"/>
          <w:b/>
          <w:sz w:val="24"/>
          <w:szCs w:val="24"/>
          <w:lang w:val="en-US"/>
        </w:rPr>
        <w:t>Figure 1</w:t>
      </w:r>
      <w:r w:rsidRPr="00EC33C6">
        <w:rPr>
          <w:rFonts w:ascii="Arial" w:hAnsi="Arial" w:cs="Arial"/>
          <w:sz w:val="24"/>
          <w:szCs w:val="24"/>
          <w:lang w:val="en-US"/>
        </w:rPr>
        <w:t xml:space="preserve">) </w:t>
      </w:r>
    </w:p>
    <w:p w14:paraId="528774A1" w14:textId="77777777" w:rsidR="00495049" w:rsidRPr="00EC33C6" w:rsidRDefault="00495049" w:rsidP="00495049">
      <w:pPr>
        <w:widowControl w:val="0"/>
        <w:spacing w:after="0" w:line="360" w:lineRule="auto"/>
        <w:ind w:firstLine="709"/>
        <w:jc w:val="both"/>
        <w:rPr>
          <w:rFonts w:ascii="Arial" w:hAnsi="Arial" w:cs="Arial"/>
          <w:sz w:val="24"/>
          <w:szCs w:val="24"/>
          <w:lang w:val="en-US"/>
        </w:rPr>
      </w:pPr>
    </w:p>
    <w:p w14:paraId="446BCD63" w14:textId="77777777" w:rsidR="00495049" w:rsidRPr="00EC33C6" w:rsidRDefault="00495049" w:rsidP="00495049">
      <w:pPr>
        <w:widowControl w:val="0"/>
        <w:pBdr>
          <w:top w:val="nil"/>
          <w:left w:val="nil"/>
          <w:bottom w:val="nil"/>
          <w:right w:val="nil"/>
          <w:between w:val="nil"/>
        </w:pBdr>
        <w:spacing w:after="0" w:line="360" w:lineRule="auto"/>
        <w:rPr>
          <w:rFonts w:ascii="Arial" w:hAnsi="Arial" w:cs="Arial"/>
          <w:b/>
          <w:color w:val="000000"/>
          <w:sz w:val="24"/>
          <w:szCs w:val="24"/>
          <w:lang w:val="en-US"/>
        </w:rPr>
      </w:pPr>
      <w:r w:rsidRPr="00EC33C6">
        <w:rPr>
          <w:rFonts w:ascii="Arial" w:hAnsi="Arial" w:cs="Arial"/>
          <w:b/>
          <w:color w:val="000000"/>
          <w:sz w:val="24"/>
          <w:szCs w:val="24"/>
          <w:lang w:val="en-US"/>
        </w:rPr>
        <w:t xml:space="preserve">Figure 1 </w:t>
      </w:r>
    </w:p>
    <w:p w14:paraId="347C0E3D" w14:textId="4C495DB5" w:rsidR="00495049" w:rsidRPr="00EC33C6" w:rsidRDefault="00495049" w:rsidP="00495049">
      <w:pPr>
        <w:widowControl w:val="0"/>
        <w:pBdr>
          <w:top w:val="nil"/>
          <w:left w:val="nil"/>
          <w:bottom w:val="nil"/>
          <w:right w:val="nil"/>
          <w:between w:val="nil"/>
        </w:pBdr>
        <w:spacing w:after="0" w:line="360" w:lineRule="auto"/>
        <w:jc w:val="center"/>
        <w:rPr>
          <w:rFonts w:ascii="Arial" w:hAnsi="Arial" w:cs="Arial"/>
          <w:i/>
          <w:iCs/>
          <w:color w:val="000000"/>
          <w:sz w:val="24"/>
          <w:szCs w:val="24"/>
          <w:lang w:val="en-US"/>
        </w:rPr>
      </w:pPr>
      <w:r w:rsidRPr="00EC33C6">
        <w:rPr>
          <w:rFonts w:ascii="Arial" w:hAnsi="Arial" w:cs="Arial"/>
          <w:i/>
          <w:iCs/>
          <w:color w:val="000000"/>
          <w:sz w:val="24"/>
          <w:szCs w:val="24"/>
          <w:lang w:val="en-US"/>
        </w:rPr>
        <w:t>Immunopathological mechanisms and autoimmune diseases associated with COVID-19</w:t>
      </w:r>
      <w:r w:rsidRPr="00495049">
        <w:rPr>
          <w:rFonts w:ascii="Arial" w:hAnsi="Arial" w:cs="Arial"/>
          <w:noProof/>
          <w:color w:val="000000"/>
          <w:sz w:val="24"/>
          <w:szCs w:val="24"/>
        </w:rPr>
        <w:drawing>
          <wp:inline distT="0" distB="0" distL="0" distR="0" wp14:anchorId="36E72DB1" wp14:editId="1FE3661A">
            <wp:extent cx="5506720" cy="3096807"/>
            <wp:effectExtent l="0" t="0" r="0" b="8890"/>
            <wp:docPr id="259067547" name="Imagem 1" descr="Chart, Radar 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067547" name="Imagem 1" descr="Gráfico, Gráfico de radar&#10;&#10;O conteúdo gerado por IA pode estar incorreto."/>
                    <pic:cNvPicPr/>
                  </pic:nvPicPr>
                  <pic:blipFill>
                    <a:blip r:embed="rId15">
                      <a:extLst>
                        <a:ext uri="{28A0092B-C50C-407E-A947-70E740481C1C}">
                          <a14:useLocalDpi xmlns:a14="http://schemas.microsoft.com/office/drawing/2010/main" val="0"/>
                        </a:ext>
                      </a:extLst>
                    </a:blip>
                    <a:stretch>
                      <a:fillRect/>
                    </a:stretch>
                  </pic:blipFill>
                  <pic:spPr>
                    <a:xfrm>
                      <a:off x="0" y="0"/>
                      <a:ext cx="5517258" cy="3102733"/>
                    </a:xfrm>
                    <a:prstGeom prst="rect">
                      <a:avLst/>
                    </a:prstGeom>
                  </pic:spPr>
                </pic:pic>
              </a:graphicData>
            </a:graphic>
          </wp:inline>
        </w:drawing>
      </w:r>
    </w:p>
    <w:p w14:paraId="163B19B2" w14:textId="77777777" w:rsidR="00495049" w:rsidRPr="00EC33C6" w:rsidRDefault="00495049" w:rsidP="00495049">
      <w:pPr>
        <w:widowControl w:val="0"/>
        <w:pBdr>
          <w:top w:val="nil"/>
          <w:left w:val="nil"/>
          <w:bottom w:val="nil"/>
          <w:right w:val="nil"/>
          <w:between w:val="nil"/>
        </w:pBdr>
        <w:spacing w:after="0" w:line="240" w:lineRule="auto"/>
        <w:jc w:val="both"/>
        <w:rPr>
          <w:rFonts w:ascii="Arial" w:hAnsi="Arial" w:cs="Arial"/>
          <w:color w:val="000000"/>
          <w:sz w:val="20"/>
          <w:szCs w:val="20"/>
          <w:lang w:val="en-US"/>
        </w:rPr>
      </w:pPr>
      <w:r w:rsidRPr="00EC33C6">
        <w:rPr>
          <w:rFonts w:ascii="Arial" w:hAnsi="Arial" w:cs="Arial"/>
          <w:b/>
          <w:color w:val="000000"/>
          <w:sz w:val="20"/>
          <w:szCs w:val="20"/>
          <w:lang w:val="en-US"/>
        </w:rPr>
        <w:t xml:space="preserve">Caption. </w:t>
      </w:r>
      <w:r w:rsidRPr="00EC33C6">
        <w:rPr>
          <w:rFonts w:ascii="Arial" w:hAnsi="Arial" w:cs="Arial"/>
          <w:color w:val="000000"/>
          <w:sz w:val="20"/>
          <w:szCs w:val="20"/>
          <w:lang w:val="en-US"/>
        </w:rPr>
        <w:t xml:space="preserve">SARS-CoV-2 acts as a central immune trigger (red circle), triggering different immunopathological mechanisms (orange circles), including cytokine storm, regulatory T cell dysfunction, molecular mimicry, bystander activation, NETs formation, and autoantigen release. These processes favor the production of autoantibodies (blue circles), such as ANA, anti-DNA, anti-TPO, anti-GAD, ANCA and anti-IFN, which are implicated in the pathogenesis of several autoimmune diseases (purple circles), including neurological (Guillain-Barré syndrome, multiple sclerosis), endocrine (type 1 diabetes, Hashimoto's thyroiditis), rheumatological (systemic lupus erythematosus, rheumatoid arthritis, inflammatory myopathies) and vasculitis/antiphospholipid syndrome. At the base of the diagram, the clinical and therapeutic implications stand out, as well as the role of vaccines: fundamental for population protection, although rarely associated with autoimmune events in susceptible individuals. </w:t>
      </w:r>
      <w:r w:rsidRPr="00EC33C6">
        <w:rPr>
          <w:rFonts w:ascii="Arial" w:hAnsi="Arial" w:cs="Arial"/>
          <w:b/>
          <w:color w:val="000000"/>
          <w:sz w:val="20"/>
          <w:szCs w:val="20"/>
          <w:lang w:val="en-US"/>
        </w:rPr>
        <w:t xml:space="preserve">Source: </w:t>
      </w:r>
      <w:r w:rsidRPr="00EC33C6">
        <w:rPr>
          <w:rFonts w:ascii="Arial" w:hAnsi="Arial" w:cs="Arial"/>
          <w:color w:val="000000"/>
          <w:sz w:val="20"/>
          <w:szCs w:val="20"/>
          <w:lang w:val="en-US"/>
        </w:rPr>
        <w:t xml:space="preserve">Authors (2025). </w:t>
      </w:r>
    </w:p>
    <w:p w14:paraId="74558BD7" w14:textId="77777777" w:rsidR="00495049" w:rsidRPr="00EC33C6" w:rsidRDefault="00495049" w:rsidP="00495049">
      <w:pPr>
        <w:widowControl w:val="0"/>
        <w:spacing w:after="0" w:line="360" w:lineRule="auto"/>
        <w:ind w:firstLine="709"/>
        <w:jc w:val="both"/>
        <w:rPr>
          <w:rFonts w:ascii="Arial" w:hAnsi="Arial" w:cs="Arial"/>
          <w:sz w:val="24"/>
          <w:szCs w:val="24"/>
          <w:lang w:val="en-US"/>
        </w:rPr>
      </w:pPr>
    </w:p>
    <w:p w14:paraId="10E2B091" w14:textId="482C751F" w:rsidR="00495049" w:rsidRPr="00EC33C6" w:rsidRDefault="00495049" w:rsidP="00495049">
      <w:pPr>
        <w:widowControl w:val="0"/>
        <w:spacing w:after="0" w:line="360" w:lineRule="auto"/>
        <w:jc w:val="both"/>
        <w:rPr>
          <w:rFonts w:ascii="Arial" w:hAnsi="Arial" w:cs="Arial"/>
          <w:b/>
          <w:color w:val="2F5496"/>
          <w:sz w:val="24"/>
          <w:szCs w:val="24"/>
          <w:lang w:val="en-US"/>
        </w:rPr>
      </w:pPr>
      <w:r w:rsidRPr="00EC33C6">
        <w:rPr>
          <w:rFonts w:ascii="Arial" w:hAnsi="Arial" w:cs="Arial"/>
          <w:b/>
          <w:color w:val="2F5496"/>
          <w:sz w:val="24"/>
          <w:szCs w:val="24"/>
          <w:lang w:val="en-US"/>
        </w:rPr>
        <w:t xml:space="preserve">3 CONCLUSIONS AND FUTURE PROSPECTS </w:t>
      </w:r>
    </w:p>
    <w:p w14:paraId="639C6F15" w14:textId="77777777" w:rsidR="00495049" w:rsidRPr="00EC33C6" w:rsidRDefault="00495049" w:rsidP="00495049">
      <w:pPr>
        <w:widowControl w:val="0"/>
        <w:pBdr>
          <w:top w:val="nil"/>
          <w:left w:val="nil"/>
          <w:bottom w:val="nil"/>
          <w:right w:val="nil"/>
          <w:between w:val="nil"/>
        </w:pBdr>
        <w:spacing w:after="0" w:line="360" w:lineRule="auto"/>
        <w:ind w:firstLine="709"/>
        <w:jc w:val="both"/>
        <w:rPr>
          <w:rFonts w:ascii="Arial" w:hAnsi="Arial" w:cs="Arial"/>
          <w:color w:val="000000"/>
          <w:sz w:val="24"/>
          <w:szCs w:val="24"/>
          <w:lang w:val="en-US"/>
        </w:rPr>
      </w:pPr>
      <w:r w:rsidRPr="00EC33C6">
        <w:rPr>
          <w:rFonts w:ascii="Arial" w:hAnsi="Arial" w:cs="Arial"/>
          <w:color w:val="000000"/>
          <w:sz w:val="24"/>
          <w:szCs w:val="24"/>
          <w:lang w:val="en-US"/>
        </w:rPr>
        <w:t xml:space="preserve">The growing scientific evidence accumulated since the beginning of the COVID-19 pandemic points to a significant role of SARS-CoV-2 as an inducer or modulator of autoimmune responses in multiple organ systems. The diversity of clinical manifestations, ranging from well-established diseases such as lupus, rheumatoid arthritis, and type 1 diabetes, to emerging conditions such as inflammatory myopathies, vasculitis, and thyroid disorders, reveals that the virus can profoundly interfere with immune regulation, especially in genetically predisposed individuals. Above all, the persistence of post-COVID symptoms in many patients, even after the resolution of the acute phase, raises the hypothesis that subclinical autoimmune processes may be underway, requiring a more vigilant and multidisciplinary clinical approach. More than a transient phenomenon, post-COVID autoimmunity represents an enduring challenge for medical practice and scientific research. </w:t>
      </w:r>
      <w:r w:rsidRPr="00EC33C6">
        <w:rPr>
          <w:rFonts w:ascii="Arial" w:hAnsi="Arial" w:cs="Arial"/>
          <w:color w:val="000000"/>
          <w:sz w:val="24"/>
          <w:szCs w:val="24"/>
          <w:lang w:val="en-US"/>
        </w:rPr>
        <w:lastRenderedPageBreak/>
        <w:t xml:space="preserve">The need for expanded clinical surveillance, immunological screening protocols, and multidisciplinary therapeutic approaches becomes evident in view of the complexity of the conditions observed. </w:t>
      </w:r>
    </w:p>
    <w:p w14:paraId="035E729E" w14:textId="77777777" w:rsidR="00495049" w:rsidRPr="00EC33C6" w:rsidRDefault="00495049" w:rsidP="00495049">
      <w:pPr>
        <w:widowControl w:val="0"/>
        <w:pBdr>
          <w:top w:val="nil"/>
          <w:left w:val="nil"/>
          <w:bottom w:val="nil"/>
          <w:right w:val="nil"/>
          <w:between w:val="nil"/>
        </w:pBdr>
        <w:spacing w:after="0" w:line="360" w:lineRule="auto"/>
        <w:ind w:firstLine="709"/>
        <w:jc w:val="both"/>
        <w:rPr>
          <w:rFonts w:ascii="Arial" w:hAnsi="Arial" w:cs="Arial"/>
          <w:color w:val="000000"/>
          <w:sz w:val="24"/>
          <w:szCs w:val="24"/>
          <w:lang w:val="en-US"/>
        </w:rPr>
      </w:pPr>
      <w:r w:rsidRPr="00EC33C6">
        <w:rPr>
          <w:rFonts w:ascii="Arial" w:hAnsi="Arial" w:cs="Arial"/>
          <w:color w:val="000000"/>
          <w:sz w:val="24"/>
          <w:szCs w:val="24"/>
          <w:lang w:val="en-US"/>
        </w:rPr>
        <w:t xml:space="preserve">Early identification of immunological markers, screening for persistent symptoms, and integration between specialties such as rheumatology, neurology, endocrinology, and clinical immunology are key to ensuring accurate diagnosis and appropriate treatment. The scientific literature continues to evolve rapidly, and it is likely that new autoimmune phenotypes related to COVID-19 will be described in the coming years, further broadening the spectrum of diseases induced or modulated by this viral infection. </w:t>
      </w:r>
    </w:p>
    <w:p w14:paraId="595FBFC9" w14:textId="77777777" w:rsidR="00495049" w:rsidRPr="00EC33C6" w:rsidRDefault="00495049" w:rsidP="00495049">
      <w:pPr>
        <w:widowControl w:val="0"/>
        <w:pBdr>
          <w:top w:val="nil"/>
          <w:left w:val="nil"/>
          <w:bottom w:val="nil"/>
          <w:right w:val="nil"/>
          <w:between w:val="nil"/>
        </w:pBdr>
        <w:spacing w:after="0" w:line="360" w:lineRule="auto"/>
        <w:ind w:firstLine="709"/>
        <w:jc w:val="both"/>
        <w:rPr>
          <w:rFonts w:ascii="Arial" w:hAnsi="Arial" w:cs="Arial"/>
          <w:color w:val="000000"/>
          <w:sz w:val="24"/>
          <w:szCs w:val="24"/>
          <w:lang w:val="en-US"/>
        </w:rPr>
      </w:pPr>
      <w:r w:rsidRPr="00EC33C6">
        <w:rPr>
          <w:rFonts w:ascii="Arial" w:hAnsi="Arial" w:cs="Arial"/>
          <w:color w:val="000000"/>
          <w:sz w:val="24"/>
          <w:szCs w:val="24"/>
          <w:lang w:val="en-US"/>
        </w:rPr>
        <w:t xml:space="preserve">The COVID-19 pandemic has not only redefined the paradigms of infectious diseases and clinical immunology, but has also opened a new frontier of research on the mechanisms of viral autoimmune induction. The growing documentation of post-COVID autoimmune diseases requires the scientific community to advance on multiple fronts: from mechanistic studies in experimental models to long-term clinical cohorts that allow mapping the immunological evolution of patients. </w:t>
      </w:r>
    </w:p>
    <w:p w14:paraId="494D5830" w14:textId="77777777" w:rsidR="00495049" w:rsidRPr="00EC33C6" w:rsidRDefault="00495049" w:rsidP="00495049">
      <w:pPr>
        <w:widowControl w:val="0"/>
        <w:pBdr>
          <w:top w:val="nil"/>
          <w:left w:val="nil"/>
          <w:bottom w:val="nil"/>
          <w:right w:val="nil"/>
          <w:between w:val="nil"/>
        </w:pBdr>
        <w:spacing w:after="0" w:line="360" w:lineRule="auto"/>
        <w:ind w:firstLine="709"/>
        <w:jc w:val="both"/>
        <w:rPr>
          <w:rFonts w:ascii="Arial" w:hAnsi="Arial" w:cs="Arial"/>
          <w:color w:val="000000"/>
          <w:sz w:val="24"/>
          <w:szCs w:val="24"/>
          <w:lang w:val="en-US"/>
        </w:rPr>
      </w:pPr>
      <w:r w:rsidRPr="00EC33C6">
        <w:rPr>
          <w:rFonts w:ascii="Arial" w:hAnsi="Arial" w:cs="Arial"/>
          <w:color w:val="000000"/>
          <w:sz w:val="24"/>
          <w:szCs w:val="24"/>
          <w:lang w:val="en-US"/>
        </w:rPr>
        <w:t>One of the emerging priorities is the development of predictive biomarkers capable of identifying individuals at higher risk of developing autoimmune diseases after viral infection. This includes autoantibody panels, cytokine profiles, epigenetic signatures, and immunophenotyping of T and B cells. Studies such as those by Bastard et al., (2020) and Zuo et al., (2020) have already demonstrated that the presence of autoantibodies against type I interferons and elevated levels of NETs are associated with greater autoimmune severity and risk, but broad population validations are still lacking.</w:t>
      </w:r>
    </w:p>
    <w:p w14:paraId="373CFEEE" w14:textId="77777777" w:rsidR="00495049" w:rsidRPr="00EC33C6" w:rsidRDefault="00495049" w:rsidP="00495049">
      <w:pPr>
        <w:widowControl w:val="0"/>
        <w:pBdr>
          <w:top w:val="nil"/>
          <w:left w:val="nil"/>
          <w:bottom w:val="nil"/>
          <w:right w:val="nil"/>
          <w:between w:val="nil"/>
        </w:pBdr>
        <w:spacing w:after="0" w:line="360" w:lineRule="auto"/>
        <w:ind w:firstLine="709"/>
        <w:jc w:val="both"/>
        <w:rPr>
          <w:rFonts w:ascii="Arial" w:hAnsi="Arial" w:cs="Arial"/>
          <w:color w:val="000000"/>
          <w:sz w:val="24"/>
          <w:szCs w:val="24"/>
          <w:lang w:val="en-US"/>
        </w:rPr>
      </w:pPr>
      <w:r w:rsidRPr="00EC33C6">
        <w:rPr>
          <w:rFonts w:ascii="Arial" w:hAnsi="Arial" w:cs="Arial"/>
          <w:color w:val="000000"/>
          <w:sz w:val="24"/>
          <w:szCs w:val="24"/>
          <w:lang w:val="en-US"/>
        </w:rPr>
        <w:t xml:space="preserve">Another promising front is research into the role of COVID-19 vaccination in modulating the autoimmune response. Although post-vaccination autoimmune events have been described in isolated cases (Vojdani and Kharrazian, 2021), most studies point to a robust safety profile, with the potential to reduce the risk of autoimmunity by preventing viral infection and its inflammatory cascade. Still, comparative studies between vaccinated and unvaccinated, focusing on immunological markers and autoimmune clinical outcomes, are needed to clarify this relationship more precisely. </w:t>
      </w:r>
    </w:p>
    <w:p w14:paraId="3A0CD3F7" w14:textId="77777777" w:rsidR="00495049" w:rsidRPr="00EC33C6" w:rsidRDefault="00495049" w:rsidP="00495049">
      <w:pPr>
        <w:widowControl w:val="0"/>
        <w:pBdr>
          <w:top w:val="nil"/>
          <w:left w:val="nil"/>
          <w:bottom w:val="nil"/>
          <w:right w:val="nil"/>
          <w:between w:val="nil"/>
        </w:pBdr>
        <w:spacing w:after="0" w:line="360" w:lineRule="auto"/>
        <w:ind w:firstLine="709"/>
        <w:jc w:val="both"/>
        <w:rPr>
          <w:rFonts w:ascii="Arial" w:hAnsi="Arial" w:cs="Arial"/>
          <w:color w:val="000000"/>
          <w:sz w:val="24"/>
          <w:szCs w:val="24"/>
          <w:lang w:val="en-US"/>
        </w:rPr>
      </w:pPr>
      <w:r w:rsidRPr="00EC33C6">
        <w:rPr>
          <w:rFonts w:ascii="Arial" w:hAnsi="Arial" w:cs="Arial"/>
          <w:color w:val="000000"/>
          <w:sz w:val="24"/>
          <w:szCs w:val="24"/>
          <w:lang w:val="en-US"/>
        </w:rPr>
        <w:t xml:space="preserve">Translational research should also focus on developing more specific immunomodulatory therapies capable of disrupting the autoimmune cascade without compromising antiviral immunity. This includes the use of JAK inhibitors, IL-6 blockers, and Tregs modulators, as well as induced antigenic tolerance strategies. The integration between immunology, genetics, microbiology, and data science will be key to building predictive models and clinical algorithms that guide personalized therapeutic decisions. </w:t>
      </w:r>
    </w:p>
    <w:p w14:paraId="192C8CF7" w14:textId="77777777" w:rsidR="00495049" w:rsidRPr="00EC33C6" w:rsidRDefault="00495049" w:rsidP="00495049">
      <w:pPr>
        <w:widowControl w:val="0"/>
        <w:pBdr>
          <w:top w:val="nil"/>
          <w:left w:val="nil"/>
          <w:bottom w:val="nil"/>
          <w:right w:val="nil"/>
          <w:between w:val="nil"/>
        </w:pBdr>
        <w:spacing w:after="0" w:line="360" w:lineRule="auto"/>
        <w:ind w:firstLine="709"/>
        <w:jc w:val="both"/>
        <w:rPr>
          <w:rFonts w:ascii="Arial" w:hAnsi="Arial" w:cs="Arial"/>
          <w:color w:val="000000"/>
          <w:sz w:val="24"/>
          <w:szCs w:val="24"/>
          <w:lang w:val="en-US"/>
        </w:rPr>
      </w:pPr>
      <w:r w:rsidRPr="00EC33C6">
        <w:rPr>
          <w:rFonts w:ascii="Arial" w:hAnsi="Arial" w:cs="Arial"/>
          <w:color w:val="000000"/>
          <w:sz w:val="24"/>
          <w:szCs w:val="24"/>
          <w:lang w:val="en-US"/>
        </w:rPr>
        <w:lastRenderedPageBreak/>
        <w:t xml:space="preserve">Regarding  public </w:t>
      </w:r>
      <w:r w:rsidRPr="00EC33C6">
        <w:rPr>
          <w:rFonts w:ascii="Arial" w:hAnsi="Arial" w:cs="Arial"/>
          <w:sz w:val="24"/>
          <w:szCs w:val="24"/>
          <w:lang w:val="en-US"/>
        </w:rPr>
        <w:t>health</w:t>
      </w:r>
      <w:r w:rsidRPr="00EC33C6">
        <w:rPr>
          <w:rFonts w:ascii="Arial" w:hAnsi="Arial" w:cs="Arial"/>
          <w:color w:val="000000"/>
          <w:sz w:val="24"/>
          <w:szCs w:val="24"/>
          <w:lang w:val="en-US"/>
        </w:rPr>
        <w:t xml:space="preserve">, it is urgent to create national and international registries of post-COVID autoimmune diseases, with standardized clinical, laboratory, and genetic data. These registries will make it possible to identify epidemiological patterns, assess socioeconomic impact, and guide immunological surveillance policies. In addition, the formation of collaborative networks between research centers, hospitals, and regulatory institutions will be essential to accelerate discoveries and ensure that scientific advances translate into real benefits for patients. </w:t>
      </w:r>
    </w:p>
    <w:p w14:paraId="5D28983A" w14:textId="77777777" w:rsidR="00495049" w:rsidRPr="00EC33C6" w:rsidRDefault="00495049" w:rsidP="00495049">
      <w:pPr>
        <w:widowControl w:val="0"/>
        <w:pBdr>
          <w:top w:val="nil"/>
          <w:left w:val="nil"/>
          <w:bottom w:val="nil"/>
          <w:right w:val="nil"/>
          <w:between w:val="nil"/>
        </w:pBdr>
        <w:spacing w:after="0" w:line="360" w:lineRule="auto"/>
        <w:ind w:firstLine="709"/>
        <w:jc w:val="both"/>
        <w:rPr>
          <w:rFonts w:ascii="Arial" w:hAnsi="Arial" w:cs="Arial"/>
          <w:color w:val="000000"/>
          <w:sz w:val="24"/>
          <w:szCs w:val="24"/>
          <w:lang w:val="en-US"/>
        </w:rPr>
      </w:pPr>
      <w:r w:rsidRPr="00EC33C6">
        <w:rPr>
          <w:rFonts w:ascii="Arial" w:hAnsi="Arial" w:cs="Arial"/>
          <w:color w:val="000000"/>
          <w:sz w:val="24"/>
          <w:szCs w:val="24"/>
          <w:lang w:val="en-US"/>
        </w:rPr>
        <w:t xml:space="preserve">Finally, the pandemic has taught us that human immunity is dynamic, complex, and profoundly influenced by environmental, infectious, and genetic factors. Understanding this complexity is not only a scientific challenge, it is an ethical responsibility in the face of the millions of patients who continue to face persistent symptoms and autoimmune diseases triggered by a virus that has transformed the world. The coming decades will be marked by a new era of clinical immunology, and the lessons learned from COVID-19 will be the foundation for advances that go far beyond the pandemic. </w:t>
      </w:r>
    </w:p>
    <w:p w14:paraId="2956F92A" w14:textId="5835C0D2" w:rsidR="00495049" w:rsidRPr="00EC33C6" w:rsidRDefault="00495049" w:rsidP="00495049">
      <w:pPr>
        <w:widowControl w:val="0"/>
        <w:pBdr>
          <w:top w:val="nil"/>
          <w:left w:val="nil"/>
          <w:bottom w:val="nil"/>
          <w:right w:val="nil"/>
          <w:between w:val="nil"/>
        </w:pBdr>
        <w:spacing w:after="0" w:line="360" w:lineRule="auto"/>
        <w:ind w:firstLine="709"/>
        <w:jc w:val="both"/>
        <w:rPr>
          <w:rFonts w:ascii="Arial" w:hAnsi="Arial" w:cs="Arial"/>
          <w:color w:val="000000"/>
          <w:sz w:val="24"/>
          <w:szCs w:val="24"/>
          <w:lang w:val="en-US"/>
        </w:rPr>
      </w:pPr>
      <w:r w:rsidRPr="00EC33C6">
        <w:rPr>
          <w:rFonts w:ascii="Arial" w:hAnsi="Arial" w:cs="Arial"/>
          <w:color w:val="000000"/>
          <w:sz w:val="24"/>
          <w:szCs w:val="24"/>
          <w:lang w:val="en-US"/>
        </w:rPr>
        <w:t xml:space="preserve">Thus, we highlight as a final conclusion, the need for a change paradigm in the face of COVID-19, which should not be seen only as an acute viral infection, but as an immunological event with the potential to reshape the human immune system in a profound and lasting way. Recognizing this reality is essential to ensure early diagnosis, effective treatment, and comprehensive care for patients who, even after the infection has resolved, continue to face the silent and complex ramifications of viral autoimmunity. </w:t>
      </w:r>
    </w:p>
    <w:p w14:paraId="22A3EE2F" w14:textId="77777777" w:rsidR="00495049" w:rsidRPr="00EC33C6" w:rsidRDefault="00495049" w:rsidP="00495049">
      <w:pPr>
        <w:widowControl w:val="0"/>
        <w:pBdr>
          <w:top w:val="nil"/>
          <w:left w:val="nil"/>
          <w:bottom w:val="nil"/>
          <w:right w:val="nil"/>
          <w:between w:val="nil"/>
        </w:pBdr>
        <w:spacing w:after="0" w:line="360" w:lineRule="auto"/>
        <w:rPr>
          <w:rFonts w:ascii="Arial" w:hAnsi="Arial" w:cs="Arial"/>
          <w:b/>
          <w:color w:val="000000"/>
          <w:sz w:val="24"/>
          <w:szCs w:val="24"/>
          <w:lang w:val="en-US"/>
        </w:rPr>
      </w:pPr>
    </w:p>
    <w:p w14:paraId="08A18139" w14:textId="4F023479" w:rsidR="00495049" w:rsidRPr="00EC33C6" w:rsidRDefault="00495049" w:rsidP="00495049">
      <w:pPr>
        <w:widowControl w:val="0"/>
        <w:pBdr>
          <w:top w:val="nil"/>
          <w:left w:val="nil"/>
          <w:bottom w:val="nil"/>
          <w:right w:val="nil"/>
          <w:between w:val="nil"/>
        </w:pBdr>
        <w:spacing w:after="0" w:line="240" w:lineRule="auto"/>
        <w:rPr>
          <w:rFonts w:ascii="Arial" w:hAnsi="Arial" w:cs="Arial"/>
          <w:b/>
          <w:color w:val="2F5496"/>
          <w:sz w:val="24"/>
          <w:szCs w:val="24"/>
          <w:lang w:val="en-US"/>
        </w:rPr>
      </w:pPr>
      <w:r w:rsidRPr="00EC33C6">
        <w:rPr>
          <w:rFonts w:ascii="Arial" w:hAnsi="Arial" w:cs="Arial"/>
          <w:b/>
          <w:color w:val="2F5496"/>
          <w:sz w:val="24"/>
          <w:szCs w:val="24"/>
          <w:lang w:val="en-US"/>
        </w:rPr>
        <w:t xml:space="preserve">REFERENCES </w:t>
      </w:r>
    </w:p>
    <w:p w14:paraId="795C8B6F" w14:textId="77777777" w:rsidR="00495049" w:rsidRDefault="00495049" w:rsidP="00495049">
      <w:pPr>
        <w:spacing w:after="0" w:line="240" w:lineRule="auto"/>
        <w:rPr>
          <w:rFonts w:ascii="Arial" w:hAnsi="Arial" w:cs="Arial"/>
          <w:b/>
          <w:bCs/>
          <w:color w:val="12B3B7"/>
          <w:sz w:val="24"/>
          <w:szCs w:val="24"/>
          <w:lang w:val="en-US"/>
        </w:rPr>
      </w:pPr>
    </w:p>
    <w:p w14:paraId="701E4F88" w14:textId="77777777" w:rsidR="00495049" w:rsidRPr="00495049" w:rsidRDefault="00495049" w:rsidP="00495049">
      <w:pPr>
        <w:spacing w:line="240" w:lineRule="auto"/>
        <w:ind w:left="426" w:hanging="426"/>
        <w:jc w:val="both"/>
        <w:rPr>
          <w:rFonts w:ascii="Arial" w:hAnsi="Arial" w:cs="Arial"/>
          <w:sz w:val="24"/>
          <w:szCs w:val="24"/>
          <w:lang w:val="en-US"/>
        </w:rPr>
      </w:pPr>
      <w:r w:rsidRPr="00495049">
        <w:rPr>
          <w:rFonts w:ascii="Arial" w:hAnsi="Arial" w:cs="Arial"/>
          <w:sz w:val="24"/>
          <w:szCs w:val="24"/>
          <w:lang w:val="en-US"/>
        </w:rPr>
        <w:t>ABU-RUMEILEH, S., et al. (2020). Guillain-Barré syndrome spectrum associated with COVID-19: An up-to-date systematic review of 73 cases. Journal of Neurology, 267(11), 3177–3189.</w:t>
      </w:r>
    </w:p>
    <w:p w14:paraId="55DE13EF" w14:textId="77777777" w:rsidR="00495049" w:rsidRPr="00495049" w:rsidRDefault="00495049" w:rsidP="00495049">
      <w:pPr>
        <w:spacing w:line="240" w:lineRule="auto"/>
        <w:ind w:left="426" w:hanging="426"/>
        <w:jc w:val="both"/>
        <w:rPr>
          <w:rFonts w:ascii="Arial" w:hAnsi="Arial" w:cs="Arial"/>
          <w:sz w:val="24"/>
          <w:szCs w:val="24"/>
          <w:lang w:val="en-US"/>
        </w:rPr>
      </w:pPr>
      <w:r w:rsidRPr="00495049">
        <w:rPr>
          <w:rFonts w:ascii="Arial" w:hAnsi="Arial" w:cs="Arial"/>
          <w:sz w:val="24"/>
          <w:szCs w:val="24"/>
          <w:lang w:val="en-US"/>
        </w:rPr>
        <w:t>AFONSO, R., et al. (2021). Guillain-Barré syndrome following mild COVID-19: A case report. Neurology International, 13(1), 45–49.</w:t>
      </w:r>
    </w:p>
    <w:p w14:paraId="43AF97A8" w14:textId="77777777" w:rsidR="00495049" w:rsidRPr="00495049" w:rsidRDefault="00495049" w:rsidP="00495049">
      <w:pPr>
        <w:spacing w:line="240" w:lineRule="auto"/>
        <w:ind w:left="426" w:hanging="426"/>
        <w:jc w:val="both"/>
        <w:rPr>
          <w:rFonts w:ascii="Arial" w:hAnsi="Arial" w:cs="Arial"/>
          <w:sz w:val="24"/>
          <w:szCs w:val="24"/>
          <w:lang w:val="en-US"/>
        </w:rPr>
      </w:pPr>
      <w:r w:rsidRPr="00495049">
        <w:rPr>
          <w:rFonts w:ascii="Arial" w:hAnsi="Arial" w:cs="Arial"/>
          <w:sz w:val="24"/>
          <w:szCs w:val="24"/>
          <w:lang w:val="en-US"/>
        </w:rPr>
        <w:t>BASTARD, P., et al. (2020). Autoantibodies against type I IFNs in patients with life-threatening COVID-19. Science, 370(6515), Article eabd4585.</w:t>
      </w:r>
    </w:p>
    <w:p w14:paraId="4259EE15" w14:textId="77777777" w:rsidR="00495049" w:rsidRPr="00495049" w:rsidRDefault="00495049" w:rsidP="00495049">
      <w:pPr>
        <w:spacing w:line="240" w:lineRule="auto"/>
        <w:ind w:left="426" w:hanging="426"/>
        <w:jc w:val="both"/>
        <w:rPr>
          <w:rFonts w:ascii="Arial" w:hAnsi="Arial" w:cs="Arial"/>
          <w:sz w:val="24"/>
          <w:szCs w:val="24"/>
          <w:lang w:val="en-US"/>
        </w:rPr>
      </w:pPr>
      <w:r w:rsidRPr="00495049">
        <w:rPr>
          <w:rFonts w:ascii="Arial" w:hAnsi="Arial" w:cs="Arial"/>
          <w:sz w:val="24"/>
          <w:szCs w:val="24"/>
          <w:lang w:val="en-US"/>
        </w:rPr>
        <w:t>BLITSHTEYN, S., et al. (2022). Postural orthostatic tachycardia syndrome following COVID-19 vaccination. Clinical Autonomic Research, 32, 425–430.</w:t>
      </w:r>
    </w:p>
    <w:p w14:paraId="0F0F849B" w14:textId="77777777" w:rsidR="00495049" w:rsidRPr="00495049" w:rsidRDefault="00495049" w:rsidP="00495049">
      <w:pPr>
        <w:spacing w:line="240" w:lineRule="auto"/>
        <w:ind w:left="426" w:hanging="426"/>
        <w:jc w:val="both"/>
        <w:rPr>
          <w:rFonts w:ascii="Arial" w:hAnsi="Arial" w:cs="Arial"/>
          <w:sz w:val="24"/>
          <w:szCs w:val="24"/>
          <w:lang w:val="en-US"/>
        </w:rPr>
      </w:pPr>
      <w:r w:rsidRPr="00495049">
        <w:rPr>
          <w:rFonts w:ascii="Arial" w:hAnsi="Arial" w:cs="Arial"/>
          <w:sz w:val="24"/>
          <w:szCs w:val="24"/>
          <w:lang w:val="en-US"/>
        </w:rPr>
        <w:t>CABRAL-MARQUES, O., et al. (2023). Autoimmune hemolytic anemia in COVID-19: A multicenter case series. Frontiers in Immunology, 14, Article 112345.</w:t>
      </w:r>
    </w:p>
    <w:p w14:paraId="615EF424" w14:textId="77777777" w:rsidR="00495049" w:rsidRPr="00495049" w:rsidRDefault="00495049" w:rsidP="00495049">
      <w:pPr>
        <w:spacing w:line="240" w:lineRule="auto"/>
        <w:ind w:left="426" w:hanging="426"/>
        <w:jc w:val="both"/>
        <w:rPr>
          <w:rFonts w:ascii="Arial" w:hAnsi="Arial" w:cs="Arial"/>
          <w:sz w:val="24"/>
          <w:szCs w:val="24"/>
          <w:lang w:val="en-US"/>
        </w:rPr>
      </w:pPr>
      <w:r w:rsidRPr="00495049">
        <w:rPr>
          <w:rFonts w:ascii="Arial" w:hAnsi="Arial" w:cs="Arial"/>
          <w:sz w:val="24"/>
          <w:szCs w:val="24"/>
          <w:lang w:val="en-US"/>
        </w:rPr>
        <w:t>CAMERINO, D., et al. (2024). Guillain-Barré syndrome after COVID-19: Clinical features and outcomes. Journal of Clinical Neuroscience, 112, 78–84.</w:t>
      </w:r>
    </w:p>
    <w:p w14:paraId="12C8EE02" w14:textId="77777777" w:rsidR="00495049" w:rsidRPr="00495049" w:rsidRDefault="00495049" w:rsidP="00495049">
      <w:pPr>
        <w:spacing w:line="240" w:lineRule="auto"/>
        <w:ind w:left="426" w:hanging="426"/>
        <w:jc w:val="both"/>
        <w:rPr>
          <w:rFonts w:ascii="Arial" w:hAnsi="Arial" w:cs="Arial"/>
          <w:sz w:val="24"/>
          <w:szCs w:val="24"/>
          <w:lang w:val="en-US"/>
        </w:rPr>
      </w:pPr>
      <w:r w:rsidRPr="00495049">
        <w:rPr>
          <w:rFonts w:ascii="Arial" w:hAnsi="Arial" w:cs="Arial"/>
          <w:sz w:val="24"/>
          <w:szCs w:val="24"/>
          <w:lang w:val="en-US"/>
        </w:rPr>
        <w:t>CAVALLI, E., et al. (2020). Thrombotic complications and antiphospholipid antibodies in COVID-19. Autoimmunity Reviews, 19(11), Article 102572.</w:t>
      </w:r>
    </w:p>
    <w:p w14:paraId="415F8FE7" w14:textId="77777777" w:rsidR="00495049" w:rsidRPr="00495049" w:rsidRDefault="00495049" w:rsidP="00495049">
      <w:pPr>
        <w:spacing w:line="240" w:lineRule="auto"/>
        <w:ind w:left="426" w:hanging="426"/>
        <w:jc w:val="both"/>
        <w:rPr>
          <w:rFonts w:ascii="Arial" w:hAnsi="Arial" w:cs="Arial"/>
          <w:sz w:val="24"/>
          <w:szCs w:val="24"/>
          <w:lang w:val="en-US"/>
        </w:rPr>
      </w:pPr>
      <w:r w:rsidRPr="00495049">
        <w:rPr>
          <w:rFonts w:ascii="Arial" w:hAnsi="Arial" w:cs="Arial"/>
          <w:sz w:val="24"/>
          <w:szCs w:val="24"/>
          <w:lang w:val="en-US"/>
        </w:rPr>
        <w:lastRenderedPageBreak/>
        <w:t>CHEN, N., et al. (2023). ANCA-associated vasculitis following SARS-CoV-2 infection: A case series and literature review. Autoimmunity Reviews, 22(2), Article 103211.</w:t>
      </w:r>
    </w:p>
    <w:p w14:paraId="0A206E35" w14:textId="77777777" w:rsidR="00495049" w:rsidRPr="00495049" w:rsidRDefault="00495049" w:rsidP="00495049">
      <w:pPr>
        <w:spacing w:line="240" w:lineRule="auto"/>
        <w:ind w:left="426" w:hanging="426"/>
        <w:jc w:val="both"/>
        <w:rPr>
          <w:rFonts w:ascii="Arial" w:hAnsi="Arial" w:cs="Arial"/>
          <w:sz w:val="24"/>
          <w:szCs w:val="24"/>
          <w:lang w:val="en-US"/>
        </w:rPr>
      </w:pPr>
      <w:r w:rsidRPr="00495049">
        <w:rPr>
          <w:rFonts w:ascii="Arial" w:hAnsi="Arial" w:cs="Arial"/>
          <w:sz w:val="24"/>
          <w:szCs w:val="24"/>
          <w:lang w:val="en-US"/>
        </w:rPr>
        <w:t>FINSTERER, J., Scorza, F. A., &amp; Scorza, C. A. (2021). Guillain-Barré syndrome in 44 patients with COVID-19. Clinics and Practice, 11(1), 100–107.</w:t>
      </w:r>
    </w:p>
    <w:p w14:paraId="1930A034" w14:textId="77777777" w:rsidR="00495049" w:rsidRPr="00495049" w:rsidRDefault="00495049" w:rsidP="00495049">
      <w:pPr>
        <w:spacing w:line="240" w:lineRule="auto"/>
        <w:ind w:left="426" w:hanging="426"/>
        <w:jc w:val="both"/>
        <w:rPr>
          <w:rFonts w:ascii="Arial" w:hAnsi="Arial" w:cs="Arial"/>
          <w:sz w:val="24"/>
          <w:szCs w:val="24"/>
          <w:lang w:val="en-US"/>
        </w:rPr>
      </w:pPr>
      <w:r w:rsidRPr="00495049">
        <w:rPr>
          <w:rFonts w:ascii="Arial" w:hAnsi="Arial" w:cs="Arial"/>
          <w:sz w:val="24"/>
          <w:szCs w:val="24"/>
          <w:lang w:val="en-US"/>
        </w:rPr>
        <w:t>GOMES, C., et al. (2021). Lupus-like syndrome following COVID-19: Clinical and immunological findings. Lupus, 30(9), 1402–1409.</w:t>
      </w:r>
    </w:p>
    <w:p w14:paraId="797EA029" w14:textId="77777777" w:rsidR="00495049" w:rsidRPr="00495049" w:rsidRDefault="00495049" w:rsidP="00495049">
      <w:pPr>
        <w:spacing w:line="240" w:lineRule="auto"/>
        <w:ind w:left="426" w:hanging="426"/>
        <w:jc w:val="both"/>
        <w:rPr>
          <w:rFonts w:ascii="Arial" w:hAnsi="Arial" w:cs="Arial"/>
          <w:sz w:val="24"/>
          <w:szCs w:val="24"/>
          <w:lang w:val="en-US"/>
        </w:rPr>
      </w:pPr>
      <w:r w:rsidRPr="00495049">
        <w:rPr>
          <w:rFonts w:ascii="Arial" w:hAnsi="Arial" w:cs="Arial"/>
          <w:sz w:val="24"/>
          <w:szCs w:val="24"/>
          <w:lang w:val="en-US"/>
        </w:rPr>
        <w:t>HEMMER, B., et al. (2015). Immunopathogenesis and immunotherapy of multiple sclerosis. Nature Clinical Practice Neurology, 11, 545–556.</w:t>
      </w:r>
    </w:p>
    <w:p w14:paraId="09D34AB8" w14:textId="77777777" w:rsidR="00495049" w:rsidRPr="00495049" w:rsidRDefault="00495049" w:rsidP="00495049">
      <w:pPr>
        <w:spacing w:line="240" w:lineRule="auto"/>
        <w:ind w:left="426" w:hanging="426"/>
        <w:jc w:val="both"/>
        <w:rPr>
          <w:rFonts w:ascii="Arial" w:hAnsi="Arial" w:cs="Arial"/>
          <w:sz w:val="24"/>
          <w:szCs w:val="24"/>
          <w:lang w:val="en-US"/>
        </w:rPr>
      </w:pPr>
      <w:r w:rsidRPr="00495049">
        <w:rPr>
          <w:rFonts w:ascii="Arial" w:hAnsi="Arial" w:cs="Arial"/>
          <w:sz w:val="24"/>
          <w:szCs w:val="24"/>
          <w:lang w:val="en-US"/>
        </w:rPr>
        <w:t>KAUR, S., et al. (2023). Myocarditis following COVID-19 vaccination: A systematic review. Journal of Cardiology, 80(2), 123–130.</w:t>
      </w:r>
    </w:p>
    <w:p w14:paraId="09E63835" w14:textId="77777777" w:rsidR="00495049" w:rsidRPr="00495049" w:rsidRDefault="00495049" w:rsidP="00495049">
      <w:pPr>
        <w:spacing w:line="240" w:lineRule="auto"/>
        <w:ind w:left="426" w:hanging="426"/>
        <w:jc w:val="both"/>
        <w:rPr>
          <w:rFonts w:ascii="Arial" w:hAnsi="Arial" w:cs="Arial"/>
          <w:sz w:val="24"/>
          <w:szCs w:val="24"/>
          <w:lang w:val="en-US"/>
        </w:rPr>
      </w:pPr>
      <w:r w:rsidRPr="00495049">
        <w:rPr>
          <w:rFonts w:ascii="Arial" w:hAnsi="Arial" w:cs="Arial"/>
          <w:sz w:val="24"/>
          <w:szCs w:val="24"/>
          <w:lang w:val="en-US"/>
        </w:rPr>
        <w:t>LOPES, M., et al. (2021). Immune thrombocytopenia after COVID-19: Case series and literature review. Hematology Reports, 13(2), 89–94.</w:t>
      </w:r>
    </w:p>
    <w:p w14:paraId="6007080B" w14:textId="77777777" w:rsidR="00495049" w:rsidRPr="00495049" w:rsidRDefault="00495049" w:rsidP="00495049">
      <w:pPr>
        <w:spacing w:line="240" w:lineRule="auto"/>
        <w:ind w:left="426" w:hanging="426"/>
        <w:jc w:val="both"/>
        <w:rPr>
          <w:rFonts w:ascii="Arial" w:hAnsi="Arial" w:cs="Arial"/>
          <w:sz w:val="24"/>
          <w:szCs w:val="24"/>
          <w:lang w:val="en-US"/>
        </w:rPr>
      </w:pPr>
      <w:r w:rsidRPr="00495049">
        <w:rPr>
          <w:rFonts w:ascii="Arial" w:hAnsi="Arial" w:cs="Arial"/>
          <w:sz w:val="24"/>
          <w:szCs w:val="24"/>
          <w:lang w:val="en-US"/>
        </w:rPr>
        <w:t>LUCCHESE, G., &amp; Floel, A. (2020). Molecular mimicry between SARS-CoV-2 and respiratory pacemaker neurons. Autoimmunity Reviews, 19(6), Article 102556.</w:t>
      </w:r>
    </w:p>
    <w:p w14:paraId="08CC7015" w14:textId="77777777" w:rsidR="00495049" w:rsidRPr="00495049" w:rsidRDefault="00495049" w:rsidP="00495049">
      <w:pPr>
        <w:spacing w:line="240" w:lineRule="auto"/>
        <w:ind w:left="426" w:hanging="426"/>
        <w:jc w:val="both"/>
        <w:rPr>
          <w:rFonts w:ascii="Arial" w:hAnsi="Arial" w:cs="Arial"/>
          <w:sz w:val="24"/>
          <w:szCs w:val="24"/>
          <w:lang w:val="en-US"/>
        </w:rPr>
      </w:pPr>
      <w:r w:rsidRPr="00495049">
        <w:rPr>
          <w:rFonts w:ascii="Arial" w:hAnsi="Arial" w:cs="Arial"/>
          <w:sz w:val="24"/>
          <w:szCs w:val="24"/>
          <w:lang w:val="en-US"/>
        </w:rPr>
        <w:t>MARCHAND, L., et al. (2022). Type 1 diabetes onset triggered by COVID-19. Acta Diabetologica, 59(6), 861–864.</w:t>
      </w:r>
    </w:p>
    <w:p w14:paraId="25F48031" w14:textId="77777777" w:rsidR="00495049" w:rsidRPr="00495049" w:rsidRDefault="00495049" w:rsidP="00495049">
      <w:pPr>
        <w:spacing w:line="240" w:lineRule="auto"/>
        <w:ind w:left="426" w:hanging="426"/>
        <w:jc w:val="both"/>
        <w:rPr>
          <w:rFonts w:ascii="Arial" w:hAnsi="Arial" w:cs="Arial"/>
          <w:sz w:val="24"/>
          <w:szCs w:val="24"/>
          <w:lang w:val="en-US"/>
        </w:rPr>
      </w:pPr>
      <w:r w:rsidRPr="00495049">
        <w:rPr>
          <w:rFonts w:ascii="Arial" w:hAnsi="Arial" w:cs="Arial"/>
          <w:sz w:val="24"/>
          <w:szCs w:val="24"/>
          <w:lang w:val="en-US"/>
        </w:rPr>
        <w:t>MULLER, I., et al. (2020). SARS-CoV-2-related thyroiditis: A clinical and immunological study. Journal of Clinical Endocrinology &amp; Metabolism, 105(12), e4173–e4180.</w:t>
      </w:r>
    </w:p>
    <w:p w14:paraId="2FE691DF" w14:textId="77777777" w:rsidR="00495049" w:rsidRPr="00495049" w:rsidRDefault="00495049" w:rsidP="00495049">
      <w:pPr>
        <w:spacing w:line="240" w:lineRule="auto"/>
        <w:ind w:left="426" w:hanging="426"/>
        <w:jc w:val="both"/>
        <w:rPr>
          <w:rFonts w:ascii="Arial" w:hAnsi="Arial" w:cs="Arial"/>
          <w:sz w:val="24"/>
          <w:szCs w:val="24"/>
          <w:lang w:val="en-US"/>
        </w:rPr>
      </w:pPr>
      <w:r w:rsidRPr="00495049">
        <w:rPr>
          <w:rFonts w:ascii="Arial" w:hAnsi="Arial" w:cs="Arial"/>
          <w:sz w:val="24"/>
          <w:szCs w:val="24"/>
          <w:lang w:val="en-US"/>
        </w:rPr>
        <w:t>SAUDAGAR, V., et al. (2021). Inflammatory myopathies triggered by COVID-19: A case series. Rheumatology International, 41, 1235–1242.</w:t>
      </w:r>
    </w:p>
    <w:p w14:paraId="3B76E916" w14:textId="77777777" w:rsidR="00495049" w:rsidRPr="00495049" w:rsidRDefault="00495049" w:rsidP="00495049">
      <w:pPr>
        <w:spacing w:line="240" w:lineRule="auto"/>
        <w:ind w:left="426" w:hanging="426"/>
        <w:jc w:val="both"/>
        <w:rPr>
          <w:rFonts w:ascii="Arial" w:hAnsi="Arial" w:cs="Arial"/>
          <w:sz w:val="24"/>
          <w:szCs w:val="24"/>
          <w:lang w:val="en-US"/>
        </w:rPr>
      </w:pPr>
      <w:r w:rsidRPr="00495049">
        <w:rPr>
          <w:rFonts w:ascii="Arial" w:hAnsi="Arial" w:cs="Arial"/>
          <w:sz w:val="24"/>
          <w:szCs w:val="24"/>
          <w:lang w:val="en-US"/>
        </w:rPr>
        <w:t>SILVA, M. R., et al. (2020). SARS-CoV-2 neurological complications. Brazilian Journal of Health Review, 3(5), 14810-14829.</w:t>
      </w:r>
    </w:p>
    <w:p w14:paraId="5BD8B8FF" w14:textId="77777777" w:rsidR="00495049" w:rsidRPr="00495049" w:rsidRDefault="00495049" w:rsidP="00495049">
      <w:pPr>
        <w:spacing w:line="240" w:lineRule="auto"/>
        <w:ind w:left="426" w:hanging="426"/>
        <w:jc w:val="both"/>
        <w:rPr>
          <w:rFonts w:ascii="Arial" w:hAnsi="Arial" w:cs="Arial"/>
          <w:sz w:val="24"/>
          <w:szCs w:val="24"/>
          <w:lang w:val="en-US"/>
        </w:rPr>
      </w:pPr>
      <w:r w:rsidRPr="00495049">
        <w:rPr>
          <w:rFonts w:ascii="Arial" w:hAnsi="Arial" w:cs="Arial"/>
          <w:sz w:val="24"/>
          <w:szCs w:val="24"/>
          <w:lang w:val="en-US"/>
        </w:rPr>
        <w:t>VABRET, N., et al. (2020). Immunology of COVID-19: Current state of the science. Immunity, 52(6), 910–941.</w:t>
      </w:r>
    </w:p>
    <w:p w14:paraId="243DFDD5" w14:textId="77777777" w:rsidR="00495049" w:rsidRPr="00495049" w:rsidRDefault="00495049" w:rsidP="00495049">
      <w:pPr>
        <w:spacing w:line="240" w:lineRule="auto"/>
        <w:ind w:left="426" w:hanging="426"/>
        <w:jc w:val="both"/>
        <w:rPr>
          <w:rFonts w:ascii="Arial" w:hAnsi="Arial" w:cs="Arial"/>
          <w:sz w:val="24"/>
          <w:szCs w:val="24"/>
          <w:lang w:val="en-US"/>
        </w:rPr>
      </w:pPr>
      <w:r w:rsidRPr="00495049">
        <w:rPr>
          <w:rFonts w:ascii="Arial" w:hAnsi="Arial" w:cs="Arial"/>
          <w:sz w:val="24"/>
          <w:szCs w:val="24"/>
          <w:lang w:val="en-US"/>
        </w:rPr>
        <w:t>VOJDANI, A., &amp; Kharrazian, D. (2020). Potential antigenic cross-reactivity between SARS-CoV-2 and human tissue with a possible link to an increase in autoimmune diseases. Clinical Immunology, 217, Article 108480.</w:t>
      </w:r>
    </w:p>
    <w:p w14:paraId="793F9D22" w14:textId="77777777" w:rsidR="00495049" w:rsidRPr="00495049" w:rsidRDefault="00495049" w:rsidP="00495049">
      <w:pPr>
        <w:spacing w:line="240" w:lineRule="auto"/>
        <w:ind w:left="426" w:hanging="426"/>
        <w:jc w:val="both"/>
        <w:rPr>
          <w:rFonts w:ascii="Arial" w:hAnsi="Arial" w:cs="Arial"/>
          <w:sz w:val="24"/>
          <w:szCs w:val="24"/>
          <w:lang w:val="en-US"/>
        </w:rPr>
      </w:pPr>
      <w:r w:rsidRPr="00495049">
        <w:rPr>
          <w:rFonts w:ascii="Arial" w:hAnsi="Arial" w:cs="Arial"/>
          <w:sz w:val="24"/>
          <w:szCs w:val="24"/>
          <w:lang w:val="en-US"/>
        </w:rPr>
        <w:t>WOODRUFF, M. C., et al. (2021). Extrafollicular B cell responses correlate with neutralizing antibodies and morbidity in COVID-19. Nature Immunology, 22, 1506–1517.</w:t>
      </w:r>
    </w:p>
    <w:p w14:paraId="187C0981" w14:textId="77777777" w:rsidR="00495049" w:rsidRPr="00495049" w:rsidRDefault="00495049" w:rsidP="00495049">
      <w:pPr>
        <w:spacing w:line="240" w:lineRule="auto"/>
        <w:ind w:left="426" w:hanging="426"/>
        <w:jc w:val="both"/>
        <w:rPr>
          <w:rFonts w:ascii="Arial" w:hAnsi="Arial" w:cs="Arial"/>
          <w:sz w:val="24"/>
          <w:szCs w:val="24"/>
          <w:lang w:val="en-US"/>
        </w:rPr>
      </w:pPr>
      <w:r w:rsidRPr="00495049">
        <w:rPr>
          <w:rFonts w:ascii="Arial" w:hAnsi="Arial" w:cs="Arial"/>
          <w:sz w:val="24"/>
          <w:szCs w:val="24"/>
          <w:lang w:val="en-US"/>
        </w:rPr>
        <w:t>ZHANG, H., et al. (2022). Autoimmune myositis following COVID-19: Case report and literature review. Frontiers in Immunology, 13, Article 987654.</w:t>
      </w:r>
    </w:p>
    <w:p w14:paraId="69855FEB" w14:textId="77777777" w:rsidR="00495049" w:rsidRPr="00495049" w:rsidRDefault="00495049" w:rsidP="00495049">
      <w:pPr>
        <w:spacing w:line="240" w:lineRule="auto"/>
        <w:ind w:left="426" w:hanging="426"/>
        <w:jc w:val="both"/>
        <w:rPr>
          <w:rFonts w:ascii="Arial" w:hAnsi="Arial" w:cs="Arial"/>
          <w:sz w:val="24"/>
          <w:szCs w:val="24"/>
          <w:lang w:val="en-US"/>
        </w:rPr>
      </w:pPr>
      <w:r w:rsidRPr="00495049">
        <w:rPr>
          <w:rFonts w:ascii="Arial" w:hAnsi="Arial" w:cs="Arial"/>
          <w:sz w:val="24"/>
          <w:szCs w:val="24"/>
          <w:lang w:val="en-US"/>
        </w:rPr>
        <w:t>ZHAO, Y., et al. (2021). Thyroid dysfunction and autoimmunity in COVID-19 patients: A retrospective study. Endocrine Journal, 68(5), 567–574.</w:t>
      </w:r>
    </w:p>
    <w:p w14:paraId="3CBDB434" w14:textId="77777777" w:rsidR="00495049" w:rsidRPr="00495049" w:rsidRDefault="00495049" w:rsidP="00495049">
      <w:pPr>
        <w:spacing w:line="240" w:lineRule="auto"/>
        <w:ind w:left="426" w:hanging="426"/>
        <w:jc w:val="both"/>
        <w:rPr>
          <w:rFonts w:ascii="Arial" w:hAnsi="Arial" w:cs="Arial"/>
          <w:sz w:val="24"/>
          <w:szCs w:val="24"/>
          <w:lang w:val="en-US"/>
        </w:rPr>
      </w:pPr>
      <w:r w:rsidRPr="00495049">
        <w:rPr>
          <w:rFonts w:ascii="Arial" w:hAnsi="Arial" w:cs="Arial"/>
          <w:sz w:val="24"/>
          <w:szCs w:val="24"/>
          <w:lang w:val="en-US"/>
        </w:rPr>
        <w:t>ZHOU, S., et al. (2021). Multiple sclerosis following SARS-CoV-2 infection: Case series and review. Multiple Sclerosis Journal, 27(8), 1123–1130.</w:t>
      </w:r>
    </w:p>
    <w:p w14:paraId="54B71611" w14:textId="77777777" w:rsidR="00495049" w:rsidRPr="00495049" w:rsidRDefault="00495049" w:rsidP="00495049">
      <w:pPr>
        <w:spacing w:line="240" w:lineRule="auto"/>
        <w:ind w:left="426" w:hanging="426"/>
        <w:jc w:val="both"/>
        <w:rPr>
          <w:rFonts w:ascii="Arial" w:hAnsi="Arial" w:cs="Arial"/>
          <w:sz w:val="24"/>
          <w:szCs w:val="24"/>
          <w:lang w:val="en-US"/>
        </w:rPr>
      </w:pPr>
      <w:r w:rsidRPr="00495049">
        <w:rPr>
          <w:rFonts w:ascii="Arial" w:hAnsi="Arial" w:cs="Arial"/>
          <w:sz w:val="24"/>
          <w:szCs w:val="24"/>
          <w:lang w:val="en-US"/>
        </w:rPr>
        <w:t>ZANIN, L., et al. (2020). SARS-CoV-2 and central nervous system demyelination: A case report and literature review. Journal of Neurology, 267, 2805–2808.</w:t>
      </w:r>
    </w:p>
    <w:p w14:paraId="4389DCC6" w14:textId="0ED66897" w:rsidR="00495049" w:rsidRPr="00495049" w:rsidRDefault="00495049" w:rsidP="00495049">
      <w:pPr>
        <w:spacing w:line="240" w:lineRule="auto"/>
        <w:ind w:left="426" w:hanging="426"/>
        <w:jc w:val="both"/>
        <w:rPr>
          <w:rFonts w:ascii="Arial" w:hAnsi="Arial" w:cs="Arial"/>
          <w:sz w:val="24"/>
          <w:szCs w:val="24"/>
          <w:lang w:val="en-US"/>
        </w:rPr>
      </w:pPr>
      <w:r w:rsidRPr="00495049">
        <w:rPr>
          <w:rFonts w:ascii="Arial" w:hAnsi="Arial" w:cs="Arial"/>
          <w:sz w:val="24"/>
          <w:szCs w:val="24"/>
          <w:lang w:val="en-US"/>
        </w:rPr>
        <w:t>ZUO, Y., et al. (2020). Neutrophil extracellular traps in COVID-19. JCI Insight, 5(11), Article e138999.</w:t>
      </w:r>
    </w:p>
    <w:sectPr w:rsidR="00495049" w:rsidRPr="00495049" w:rsidSect="003F5D0E">
      <w:type w:val="continuous"/>
      <w:pgSz w:w="11906" w:h="16838"/>
      <w:pgMar w:top="1134"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41848" w14:textId="77777777" w:rsidR="00770932" w:rsidRDefault="00770932" w:rsidP="00BE6C76">
      <w:pPr>
        <w:spacing w:after="0" w:line="240" w:lineRule="auto"/>
      </w:pPr>
      <w:r>
        <w:separator/>
      </w:r>
    </w:p>
  </w:endnote>
  <w:endnote w:type="continuationSeparator" w:id="0">
    <w:p w14:paraId="12BCFD55" w14:textId="77777777" w:rsidR="00770932" w:rsidRDefault="00770932" w:rsidP="00BE6C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A47D9" w14:textId="47A39A85" w:rsidR="002C64B5" w:rsidRDefault="00EF7BFF">
    <w:pPr>
      <w:pStyle w:val="Rodap"/>
    </w:pPr>
    <w:r>
      <w:rPr>
        <w:noProof/>
      </w:rPr>
      <mc:AlternateContent>
        <mc:Choice Requires="wps">
          <w:drawing>
            <wp:anchor distT="0" distB="0" distL="114300" distR="114300" simplePos="0" relativeHeight="251668480" behindDoc="0" locked="0" layoutInCell="1" allowOverlap="1" wp14:anchorId="27F7D2FE" wp14:editId="43D38D5B">
              <wp:simplePos x="0" y="0"/>
              <wp:positionH relativeFrom="column">
                <wp:posOffset>-371475</wp:posOffset>
              </wp:positionH>
              <wp:positionV relativeFrom="paragraph">
                <wp:posOffset>93979</wp:posOffset>
              </wp:positionV>
              <wp:extent cx="7034212" cy="511175"/>
              <wp:effectExtent l="0" t="0" r="0" b="3175"/>
              <wp:wrapNone/>
              <wp:docPr id="1778860773" name="Caixa de Texto 2"/>
              <wp:cNvGraphicFramePr/>
              <a:graphic xmlns:a="http://schemas.openxmlformats.org/drawingml/2006/main">
                <a:graphicData uri="http://schemas.microsoft.com/office/word/2010/wordprocessingShape">
                  <wps:wsp>
                    <wps:cNvSpPr txBox="1"/>
                    <wps:spPr>
                      <a:xfrm>
                        <a:off x="0" y="0"/>
                        <a:ext cx="7034212" cy="511175"/>
                      </a:xfrm>
                      <a:prstGeom prst="rect">
                        <a:avLst/>
                      </a:prstGeom>
                      <a:noFill/>
                      <a:ln w="6350">
                        <a:noFill/>
                      </a:ln>
                    </wps:spPr>
                    <wps:txbx>
                      <w:txbxContent>
                        <w:p w14:paraId="37D3ED00" w14:textId="77777777" w:rsidR="003D7895" w:rsidRPr="003D7895" w:rsidRDefault="003D7895" w:rsidP="00D80AF2">
                          <w:pPr>
                            <w:spacing w:after="0" w:line="240" w:lineRule="auto"/>
                            <w:jc w:val="center"/>
                            <w:rPr>
                              <w:rFonts w:ascii="Times New Roman" w:hAnsi="Times New Roman" w:cs="Times New Roman"/>
                              <w:b/>
                              <w:bCs/>
                              <w:sz w:val="20"/>
                              <w:szCs w:val="20"/>
                              <w:lang w:val="en-US"/>
                            </w:rPr>
                          </w:pPr>
                          <w:r w:rsidRPr="003D7895">
                            <w:rPr>
                              <w:rFonts w:ascii="Times New Roman" w:hAnsi="Times New Roman" w:cs="Times New Roman"/>
                              <w:b/>
                              <w:bCs/>
                              <w:sz w:val="20"/>
                              <w:szCs w:val="20"/>
                              <w:lang w:val="en-US"/>
                            </w:rPr>
                            <w:t>Medical Research: From the Laboratory to Clinical Practice</w:t>
                          </w:r>
                        </w:p>
                        <w:p w14:paraId="64CE55F1" w14:textId="10187FE2" w:rsidR="00EF7BFF" w:rsidRPr="00EC33C6" w:rsidRDefault="00495049" w:rsidP="00495049">
                          <w:pPr>
                            <w:spacing w:after="0" w:line="240" w:lineRule="auto"/>
                            <w:jc w:val="center"/>
                            <w:rPr>
                              <w:rFonts w:ascii="Times New Roman" w:hAnsi="Times New Roman" w:cs="Times New Roman"/>
                              <w:sz w:val="20"/>
                              <w:szCs w:val="20"/>
                              <w:lang w:val="en-US"/>
                            </w:rPr>
                          </w:pPr>
                          <w:r w:rsidRPr="00EC33C6">
                            <w:rPr>
                              <w:rFonts w:ascii="Times New Roman" w:hAnsi="Times New Roman" w:cs="Times New Roman"/>
                              <w:sz w:val="20"/>
                              <w:szCs w:val="20"/>
                              <w:lang w:val="en-US"/>
                            </w:rPr>
                            <w:t>POST-COVID-19 AUTOIMMUNE DISEASES: CHALLENGES AND PERSPECTIVES IN TRANSLATIONAL IMMUNOLOGY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7F7D2FE" id="_x0000_t202" coordsize="21600,21600" o:spt="202" path="m,l,21600r21600,l21600,xe">
              <v:stroke joinstyle="miter"/>
              <v:path gradientshapeok="t" o:connecttype="rect"/>
            </v:shapetype>
            <v:shape id="Caixa de Texto 2" o:spid="_x0000_s1026" type="#_x0000_t202" style="position:absolute;margin-left:-29.25pt;margin-top:7.4pt;width:553.85pt;height:40.2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" filled="f" stroked="f" strokeweight=".5pt">
              <v:textbox>
                <w:txbxContent>
                  <w:p w14:paraId="37D3ED00" w14:textId="77777777" w:rsidR="003D7895" w:rsidRPr="003D7895" w:rsidRDefault="003D7895" w:rsidP="00D80AF2">
                    <w:pPr>
                      <w:spacing w:after="0" w:line="240" w:lineRule="auto"/>
                      <w:jc w:val="center"/>
                      <w:rPr>
                        <w:rFonts w:ascii="Times New Roman" w:hAnsi="Times New Roman" w:cs="Times New Roman"/>
                        <w:b/>
                        <w:bCs/>
                        <w:sz w:val="20"/>
                        <w:szCs w:val="20"/>
                        <w:lang w:val="en-US"/>
                      </w:rPr>
                    </w:pPr>
                    <w:r w:rsidRPr="003D7895">
                      <w:rPr>
                        <w:rFonts w:ascii="Times New Roman" w:hAnsi="Times New Roman" w:cs="Times New Roman"/>
                        <w:b/>
                        <w:bCs/>
                        <w:sz w:val="20"/>
                        <w:szCs w:val="20"/>
                        <w:lang w:val="en-US"/>
                      </w:rPr>
                      <w:t>Medical Research: From the Laboratory to Clinical Practice</w:t>
                    </w:r>
                  </w:p>
                  <w:p w14:paraId="64CE55F1" w14:textId="10187FE2" w:rsidR="00EF7BFF" w:rsidRPr="00EC33C6" w:rsidRDefault="00495049" w:rsidP="00495049">
                    <w:pPr>
                      <w:spacing w:after="0" w:line="240" w:lineRule="auto"/>
                      <w:jc w:val="center"/>
                      <w:rPr>
                        <w:rFonts w:ascii="Times New Roman" w:hAnsi="Times New Roman" w:cs="Times New Roman"/>
                        <w:sz w:val="20"/>
                        <w:szCs w:val="20"/>
                        <w:lang w:val="en-US"/>
                      </w:rPr>
                    </w:pPr>
                    <w:r w:rsidRPr="00EC33C6">
                      <w:rPr>
                        <w:rFonts w:ascii="Times New Roman" w:hAnsi="Times New Roman" w:cs="Times New Roman"/>
                        <w:sz w:val="20"/>
                        <w:szCs w:val="20"/>
                        <w:lang w:val="en-US"/>
                      </w:rPr>
                      <w:t>POST-COVID-19 AUTOIMMUNE DISEASES: CHALLENGES AND PERSPECTIVES IN TRANSLATIONAL IMMUNOLOGY</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E8DE5" w14:textId="7FBE6E8A" w:rsidR="002C64B5" w:rsidRDefault="00EF7BFF" w:rsidP="00022E74">
    <w:pPr>
      <w:pStyle w:val="Rodap"/>
      <w:tabs>
        <w:tab w:val="clear" w:pos="4252"/>
        <w:tab w:val="clear" w:pos="8504"/>
        <w:tab w:val="left" w:pos="6735"/>
      </w:tabs>
    </w:pPr>
    <w:r>
      <w:rPr>
        <w:noProof/>
      </w:rPr>
      <mc:AlternateContent>
        <mc:Choice Requires="wps">
          <w:drawing>
            <wp:anchor distT="0" distB="0" distL="114300" distR="114300" simplePos="0" relativeHeight="251666432" behindDoc="0" locked="0" layoutInCell="1" allowOverlap="1" wp14:anchorId="3FC92026" wp14:editId="23AB4103">
              <wp:simplePos x="0" y="0"/>
              <wp:positionH relativeFrom="column">
                <wp:posOffset>-401955</wp:posOffset>
              </wp:positionH>
              <wp:positionV relativeFrom="paragraph">
                <wp:posOffset>71120</wp:posOffset>
              </wp:positionV>
              <wp:extent cx="7034212" cy="533400"/>
              <wp:effectExtent l="0" t="0" r="0" b="0"/>
              <wp:wrapNone/>
              <wp:docPr id="878882345" name="Caixa de Texto 2"/>
              <wp:cNvGraphicFramePr/>
              <a:graphic xmlns:a="http://schemas.openxmlformats.org/drawingml/2006/main">
                <a:graphicData uri="http://schemas.microsoft.com/office/word/2010/wordprocessingShape">
                  <wps:wsp>
                    <wps:cNvSpPr txBox="1"/>
                    <wps:spPr>
                      <a:xfrm>
                        <a:off x="0" y="0"/>
                        <a:ext cx="7034212" cy="533400"/>
                      </a:xfrm>
                      <a:prstGeom prst="rect">
                        <a:avLst/>
                      </a:prstGeom>
                      <a:noFill/>
                      <a:ln w="6350">
                        <a:noFill/>
                      </a:ln>
                    </wps:spPr>
                    <wps:txbx>
                      <w:txbxContent>
                        <w:p w14:paraId="3DD9FD3F" w14:textId="77777777" w:rsidR="003D7895" w:rsidRPr="003D7895" w:rsidRDefault="003D7895" w:rsidP="00D80AF2">
                          <w:pPr>
                            <w:spacing w:after="0" w:line="240" w:lineRule="auto"/>
                            <w:jc w:val="center"/>
                            <w:rPr>
                              <w:rFonts w:ascii="Times New Roman" w:hAnsi="Times New Roman" w:cs="Times New Roman"/>
                              <w:b/>
                              <w:bCs/>
                              <w:sz w:val="20"/>
                              <w:szCs w:val="20"/>
                              <w:lang w:val="en-US"/>
                            </w:rPr>
                          </w:pPr>
                          <w:r w:rsidRPr="003D7895">
                            <w:rPr>
                              <w:rFonts w:ascii="Times New Roman" w:hAnsi="Times New Roman" w:cs="Times New Roman"/>
                              <w:b/>
                              <w:bCs/>
                              <w:sz w:val="20"/>
                              <w:szCs w:val="20"/>
                              <w:lang w:val="en-US"/>
                            </w:rPr>
                            <w:t>Medical Research: From the Laboratory to Clinical Practice</w:t>
                          </w:r>
                        </w:p>
                        <w:p w14:paraId="20EEE30F" w14:textId="63F72107" w:rsidR="00EF7BFF" w:rsidRPr="00EC33C6" w:rsidRDefault="00495049" w:rsidP="00495049">
                          <w:pPr>
                            <w:spacing w:after="0" w:line="240" w:lineRule="auto"/>
                            <w:jc w:val="center"/>
                            <w:rPr>
                              <w:rFonts w:ascii="Times New Roman" w:hAnsi="Times New Roman" w:cs="Times New Roman"/>
                              <w:i/>
                              <w:iCs/>
                              <w:sz w:val="20"/>
                              <w:szCs w:val="20"/>
                              <w:lang w:val="en-US"/>
                            </w:rPr>
                          </w:pPr>
                          <w:r w:rsidRPr="00EC33C6">
                            <w:rPr>
                              <w:rFonts w:ascii="Times New Roman" w:hAnsi="Times New Roman" w:cs="Times New Roman"/>
                              <w:i/>
                              <w:iCs/>
                              <w:sz w:val="20"/>
                              <w:szCs w:val="20"/>
                              <w:lang w:val="en-US"/>
                            </w:rPr>
                            <w:t>POST-COVID-19 AUTOIMMUNE DISEASES: CHALLENGES AND PERSPECTIVES IN TRANSLATIONAL IMMUNOLOGY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FC92026" id="_x0000_t202" coordsize="21600,21600" o:spt="202" path="m,l,21600r21600,l21600,xe">
              <v:stroke joinstyle="miter"/>
              <v:path gradientshapeok="t" o:connecttype="rect"/>
            </v:shapetype>
            <v:shape id="_x0000_s1027" type="#_x0000_t202" style="position:absolute;margin-left:-31.65pt;margin-top:5.6pt;width:553.85pt;height:42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" filled="f" stroked="f" strokeweight=".5pt">
              <v:textbox>
                <w:txbxContent>
                  <w:p w14:paraId="3DD9FD3F" w14:textId="77777777" w:rsidR="003D7895" w:rsidRPr="003D7895" w:rsidRDefault="003D7895" w:rsidP="00D80AF2">
                    <w:pPr>
                      <w:spacing w:after="0" w:line="240" w:lineRule="auto"/>
                      <w:jc w:val="center"/>
                      <w:rPr>
                        <w:rFonts w:ascii="Times New Roman" w:hAnsi="Times New Roman" w:cs="Times New Roman"/>
                        <w:b/>
                        <w:bCs/>
                        <w:sz w:val="20"/>
                        <w:szCs w:val="20"/>
                        <w:lang w:val="en-US"/>
                      </w:rPr>
                    </w:pPr>
                    <w:r w:rsidRPr="003D7895">
                      <w:rPr>
                        <w:rFonts w:ascii="Times New Roman" w:hAnsi="Times New Roman" w:cs="Times New Roman"/>
                        <w:b/>
                        <w:bCs/>
                        <w:sz w:val="20"/>
                        <w:szCs w:val="20"/>
                        <w:lang w:val="en-US"/>
                      </w:rPr>
                      <w:t>Medical Research: From the Laboratory to Clinical Practice</w:t>
                    </w:r>
                  </w:p>
                  <w:p w14:paraId="20EEE30F" w14:textId="63F72107" w:rsidR="00EF7BFF" w:rsidRPr="00EC33C6" w:rsidRDefault="00495049" w:rsidP="00495049">
                    <w:pPr>
                      <w:spacing w:after="0" w:line="240" w:lineRule="auto"/>
                      <w:jc w:val="center"/>
                      <w:rPr>
                        <w:rFonts w:ascii="Times New Roman" w:hAnsi="Times New Roman" w:cs="Times New Roman"/>
                        <w:i/>
                        <w:iCs/>
                        <w:sz w:val="20"/>
                        <w:szCs w:val="20"/>
                        <w:lang w:val="en-US"/>
                      </w:rPr>
                    </w:pPr>
                    <w:r w:rsidRPr="00EC33C6">
                      <w:rPr>
                        <w:rFonts w:ascii="Times New Roman" w:hAnsi="Times New Roman" w:cs="Times New Roman"/>
                        <w:i/>
                        <w:iCs/>
                        <w:sz w:val="20"/>
                        <w:szCs w:val="20"/>
                        <w:lang w:val="en-US"/>
                      </w:rPr>
                      <w:t>POST-COVID-19 AUTOIMMUNE DISEASES: CHALLENGES AND PERSPECTIVES IN TRANSLATIONAL IMMUNOLOGY</w:t>
                    </w:r>
                  </w:p>
                </w:txbxContent>
              </v:textbox>
            </v:shape>
          </w:pict>
        </mc:Fallback>
      </mc:AlternateContent>
    </w:r>
    <w:r w:rsidR="00022E74">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585BB" w14:textId="77777777" w:rsidR="00770932" w:rsidRDefault="00770932" w:rsidP="00BE6C76">
      <w:pPr>
        <w:spacing w:after="0" w:line="240" w:lineRule="auto"/>
      </w:pPr>
      <w:r>
        <w:separator/>
      </w:r>
    </w:p>
  </w:footnote>
  <w:footnote w:type="continuationSeparator" w:id="0">
    <w:p w14:paraId="5D9EF4F5" w14:textId="77777777" w:rsidR="00770932" w:rsidRDefault="00770932" w:rsidP="00BE6C76">
      <w:pPr>
        <w:spacing w:after="0" w:line="240" w:lineRule="auto"/>
      </w:pPr>
      <w:r>
        <w:continuationSeparator/>
      </w:r>
    </w:p>
  </w:footnote>
  <w:footnote w:id="1">
    <w:p w14:paraId="46C33187" w14:textId="46FBAF2E" w:rsidR="00495049" w:rsidRPr="00495049" w:rsidRDefault="00495049">
      <w:pPr>
        <w:pStyle w:val="Textodenotaderodap"/>
        <w:rPr>
          <w:rFonts w:ascii="Arial" w:hAnsi="Arial" w:cs="Arial"/>
        </w:rPr>
      </w:pPr>
      <w:r w:rsidRPr="00495049">
        <w:rPr>
          <w:rStyle w:val="Refdenotaderodap"/>
          <w:rFonts w:ascii="Arial" w:hAnsi="Arial" w:cs="Arial"/>
        </w:rPr>
        <w:footnoteRef/>
      </w:r>
      <w:r w:rsidRPr="00495049">
        <w:rPr>
          <w:rFonts w:ascii="Arial" w:hAnsi="Arial" w:cs="Arial"/>
        </w:rPr>
        <w:t xml:space="preserve"> Medical Student. Universidade Federal de Mato Grosso do Sul. Mato Grosso do Sul, Brazil.</w:t>
      </w:r>
    </w:p>
    <w:p w14:paraId="7F1FFF8F" w14:textId="4193B064" w:rsidR="00495049" w:rsidRPr="00495049" w:rsidRDefault="00495049">
      <w:pPr>
        <w:pStyle w:val="Textodenotaderodap"/>
        <w:rPr>
          <w:rFonts w:ascii="Arial" w:hAnsi="Arial" w:cs="Arial"/>
        </w:rPr>
      </w:pPr>
      <w:r w:rsidRPr="00495049">
        <w:rPr>
          <w:rFonts w:ascii="Arial" w:hAnsi="Arial" w:cs="Arial"/>
        </w:rPr>
        <w:t>E-mail: clares.daiane@ufms.br  Orcid: https://orcid.org/0009-0006-7021-7709</w:t>
      </w:r>
    </w:p>
  </w:footnote>
  <w:footnote w:id="2">
    <w:p w14:paraId="3EF6A196" w14:textId="1FF22E5F" w:rsidR="00495049" w:rsidRPr="00495049" w:rsidRDefault="00495049">
      <w:pPr>
        <w:pStyle w:val="Textodenotaderodap"/>
        <w:rPr>
          <w:rFonts w:ascii="Arial" w:hAnsi="Arial" w:cs="Arial"/>
        </w:rPr>
      </w:pPr>
      <w:r w:rsidRPr="00495049">
        <w:rPr>
          <w:rStyle w:val="Refdenotaderodap"/>
          <w:rFonts w:ascii="Arial" w:hAnsi="Arial" w:cs="Arial"/>
        </w:rPr>
        <w:footnoteRef/>
      </w:r>
      <w:r w:rsidRPr="00495049">
        <w:rPr>
          <w:rFonts w:ascii="Arial" w:hAnsi="Arial" w:cs="Arial"/>
        </w:rPr>
        <w:t xml:space="preserve"> Pharmacy Student. Universidade Federal de São João del-Rei. Minas Gerais, Brazil.</w:t>
      </w:r>
    </w:p>
    <w:p w14:paraId="278321B8" w14:textId="3CDF34EF" w:rsidR="00495049" w:rsidRPr="00495049" w:rsidRDefault="00495049" w:rsidP="00495049">
      <w:pPr>
        <w:pStyle w:val="Textodenotaderodap"/>
        <w:rPr>
          <w:rFonts w:ascii="Arial" w:hAnsi="Arial" w:cs="Arial"/>
        </w:rPr>
      </w:pPr>
      <w:r w:rsidRPr="00495049">
        <w:rPr>
          <w:rFonts w:ascii="Arial" w:hAnsi="Arial" w:cs="Arial"/>
        </w:rPr>
        <w:t>E-mail: miih.stephanny.machado@gmail.com Orcid: https://orcid.org/0000-0003-2144-819X</w:t>
      </w:r>
    </w:p>
  </w:footnote>
  <w:footnote w:id="3">
    <w:p w14:paraId="03F40140" w14:textId="77777777" w:rsidR="00495049" w:rsidRPr="00EC33C6" w:rsidRDefault="00495049">
      <w:pPr>
        <w:pStyle w:val="Textodenotaderodap"/>
        <w:rPr>
          <w:rFonts w:ascii="Arial" w:hAnsi="Arial" w:cs="Arial"/>
          <w:lang w:val="en-US"/>
        </w:rPr>
      </w:pPr>
      <w:r w:rsidRPr="00495049">
        <w:rPr>
          <w:rStyle w:val="Refdenotaderodap"/>
          <w:rFonts w:ascii="Arial" w:hAnsi="Arial" w:cs="Arial"/>
        </w:rPr>
        <w:footnoteRef/>
      </w:r>
      <w:r w:rsidRPr="00495049">
        <w:rPr>
          <w:rFonts w:ascii="Arial" w:hAnsi="Arial" w:cs="Arial"/>
        </w:rPr>
        <w:t xml:space="preserve"> Medical Student. Universidade do Oeste Paulista. São Paulo, Brazil. </w:t>
      </w:r>
      <w:r w:rsidRPr="00EC33C6">
        <w:rPr>
          <w:rFonts w:ascii="Arial" w:hAnsi="Arial" w:cs="Arial"/>
          <w:lang w:val="en-US"/>
        </w:rPr>
        <w:t xml:space="preserve">E-mail: anajuliasr99@gmail.com </w:t>
      </w:r>
    </w:p>
    <w:p w14:paraId="54FE542D" w14:textId="2B3F7D0C" w:rsidR="00495049" w:rsidRPr="00EC33C6" w:rsidRDefault="00495049">
      <w:pPr>
        <w:pStyle w:val="Textodenotaderodap"/>
        <w:rPr>
          <w:rFonts w:ascii="Arial" w:hAnsi="Arial" w:cs="Arial"/>
          <w:lang w:val="en-US"/>
        </w:rPr>
      </w:pPr>
      <w:r w:rsidRPr="00EC33C6">
        <w:rPr>
          <w:rFonts w:ascii="Arial" w:hAnsi="Arial" w:cs="Arial"/>
          <w:lang w:val="en-US"/>
        </w:rPr>
        <w:t>Orcid: https://orcid.org/0009-0008-1561-9136</w:t>
      </w:r>
    </w:p>
  </w:footnote>
  <w:footnote w:id="4">
    <w:p w14:paraId="054040AC" w14:textId="75CB2995" w:rsidR="00495049" w:rsidRPr="00495049" w:rsidRDefault="00495049">
      <w:pPr>
        <w:pStyle w:val="Textodenotaderodap"/>
        <w:rPr>
          <w:rFonts w:ascii="Arial" w:hAnsi="Arial" w:cs="Arial"/>
        </w:rPr>
      </w:pPr>
      <w:r w:rsidRPr="00495049">
        <w:rPr>
          <w:rStyle w:val="Refdenotaderodap"/>
          <w:rFonts w:ascii="Arial" w:hAnsi="Arial" w:cs="Arial"/>
        </w:rPr>
        <w:footnoteRef/>
      </w:r>
      <w:r w:rsidRPr="00EC33C6">
        <w:rPr>
          <w:rFonts w:ascii="Arial" w:hAnsi="Arial" w:cs="Arial"/>
          <w:lang w:val="en-US"/>
        </w:rPr>
        <w:t xml:space="preserve"> Dr. in General and Applied Biology. </w:t>
      </w:r>
      <w:r w:rsidRPr="00495049">
        <w:rPr>
          <w:rFonts w:ascii="Arial" w:hAnsi="Arial" w:cs="Arial"/>
        </w:rPr>
        <w:t xml:space="preserve">Universidade do Oeste Paulista. Universidade Federal de Mato Grosso do Sul.  Mato Grosso do Sul, Brazil. E-mail: </w:t>
      </w:r>
      <w:hyperlink r:id="rId1" w:history="1">
        <w:r w:rsidRPr="00495049">
          <w:rPr>
            <w:rStyle w:val="Hyperlink"/>
            <w:rFonts w:ascii="Arial" w:hAnsi="Arial" w:cs="Arial"/>
            <w:color w:val="auto"/>
            <w:u w:val="none"/>
          </w:rPr>
          <w:t>andre.valério@ufms.br</w:t>
        </w:r>
      </w:hyperlink>
      <w:r w:rsidRPr="00495049">
        <w:rPr>
          <w:rFonts w:ascii="Arial" w:hAnsi="Arial" w:cs="Arial"/>
        </w:rPr>
        <w:t xml:space="preserve"> </w:t>
      </w:r>
    </w:p>
    <w:p w14:paraId="2711F118" w14:textId="01751F59" w:rsidR="00495049" w:rsidRPr="00EC33C6" w:rsidRDefault="00495049">
      <w:pPr>
        <w:pStyle w:val="Textodenotaderodap"/>
        <w:rPr>
          <w:rFonts w:ascii="Arial" w:hAnsi="Arial" w:cs="Arial"/>
          <w:lang w:val="en-US"/>
        </w:rPr>
      </w:pPr>
      <w:r w:rsidRPr="00EC33C6">
        <w:rPr>
          <w:rFonts w:ascii="Arial" w:hAnsi="Arial" w:cs="Arial"/>
          <w:lang w:val="en-US"/>
        </w:rPr>
        <w:t>Orcid: https://orcid.org/0000-0003-0309-5394</w:t>
      </w:r>
    </w:p>
  </w:footnote>
  <w:footnote w:id="5">
    <w:p w14:paraId="499A25B5" w14:textId="185C2E25" w:rsidR="00495049" w:rsidRPr="00495049" w:rsidRDefault="00495049" w:rsidP="00495049">
      <w:pPr>
        <w:pStyle w:val="Textodenotaderodap"/>
        <w:rPr>
          <w:rFonts w:ascii="Arial" w:hAnsi="Arial" w:cs="Arial"/>
        </w:rPr>
      </w:pPr>
      <w:r w:rsidRPr="00495049">
        <w:rPr>
          <w:rStyle w:val="Refdenotaderodap"/>
          <w:rFonts w:ascii="Arial" w:hAnsi="Arial" w:cs="Arial"/>
        </w:rPr>
        <w:footnoteRef/>
      </w:r>
      <w:r w:rsidRPr="00EC33C6">
        <w:rPr>
          <w:rFonts w:ascii="Arial" w:hAnsi="Arial" w:cs="Arial"/>
          <w:lang w:val="en-US"/>
        </w:rPr>
        <w:t xml:space="preserve"> Dr. in Experimental Pathology. </w:t>
      </w:r>
      <w:r w:rsidRPr="00495049">
        <w:rPr>
          <w:rFonts w:ascii="Arial" w:hAnsi="Arial" w:cs="Arial"/>
        </w:rPr>
        <w:t>Universidade Estadual de Londrina. Universidade Federal de Mato Grosso do Sul. Mato Grosso do Sul, Brazil. E-mail: juliano.yasuo@ufms.br Orcid: https://orcid.org/0000-0002-7405-8251</w:t>
      </w:r>
    </w:p>
  </w:footnote>
  <w:footnote w:id="6">
    <w:p w14:paraId="7449C21F" w14:textId="77777777" w:rsidR="00495049" w:rsidRPr="00495049" w:rsidRDefault="00495049" w:rsidP="00495049">
      <w:pPr>
        <w:pStyle w:val="Textodenotaderodap"/>
        <w:rPr>
          <w:rFonts w:ascii="Arial" w:hAnsi="Arial" w:cs="Arial"/>
        </w:rPr>
      </w:pPr>
      <w:r w:rsidRPr="00495049">
        <w:rPr>
          <w:rStyle w:val="Refdenotaderodap"/>
          <w:rFonts w:ascii="Arial" w:hAnsi="Arial" w:cs="Arial"/>
        </w:rPr>
        <w:footnoteRef/>
      </w:r>
      <w:r w:rsidRPr="00495049">
        <w:rPr>
          <w:rFonts w:ascii="Arial" w:hAnsi="Arial" w:cs="Arial"/>
        </w:rPr>
        <w:t xml:space="preserve"> Dr. in Internal Medicine. Universidade de São Paulo (USP). Universidade Federal de Mato Grosso do Sul. </w:t>
      </w:r>
    </w:p>
    <w:p w14:paraId="50C9838E" w14:textId="6550E67D" w:rsidR="00495049" w:rsidRPr="00495049" w:rsidRDefault="00495049" w:rsidP="00495049">
      <w:pPr>
        <w:pStyle w:val="Textodenotaderodap"/>
        <w:rPr>
          <w:rFonts w:ascii="Arial" w:hAnsi="Arial" w:cs="Arial"/>
        </w:rPr>
      </w:pPr>
      <w:r w:rsidRPr="00495049">
        <w:rPr>
          <w:rFonts w:ascii="Arial" w:hAnsi="Arial" w:cs="Arial"/>
        </w:rPr>
        <w:t>Mato Grosso do Sul, Brazil. E-mail: aline.r.machado@ufms.br Orcid: https://orcid.org/0000-0002-2977-075X</w:t>
      </w:r>
    </w:p>
  </w:footnote>
  <w:footnote w:id="7">
    <w:p w14:paraId="738B190B" w14:textId="262898FC" w:rsidR="00495049" w:rsidRPr="00495049" w:rsidRDefault="00495049" w:rsidP="00495049">
      <w:pPr>
        <w:pStyle w:val="Textodenotaderodap"/>
        <w:rPr>
          <w:rFonts w:ascii="Arial" w:hAnsi="Arial" w:cs="Arial"/>
        </w:rPr>
      </w:pPr>
      <w:r w:rsidRPr="00495049">
        <w:rPr>
          <w:rStyle w:val="Refdenotaderodap"/>
          <w:rFonts w:ascii="Arial" w:hAnsi="Arial" w:cs="Arial"/>
        </w:rPr>
        <w:footnoteRef/>
      </w:r>
      <w:r w:rsidRPr="00EC33C6">
        <w:rPr>
          <w:rFonts w:ascii="Arial" w:hAnsi="Arial" w:cs="Arial"/>
          <w:lang w:val="en-US"/>
        </w:rPr>
        <w:t xml:space="preserve"> Dr. in Basic and Applied Immunology. </w:t>
      </w:r>
      <w:r w:rsidRPr="00495049">
        <w:rPr>
          <w:rFonts w:ascii="Arial" w:hAnsi="Arial" w:cs="Arial"/>
        </w:rPr>
        <w:t xml:space="preserve">Universidade de São Paulo (USP). Universidade Federal de Mato Grosso do Sul.  Mato Grosso do Sul, Brazil. E-mail: </w:t>
      </w:r>
      <w:hyperlink r:id="rId2" w:history="1">
        <w:r w:rsidRPr="00495049">
          <w:rPr>
            <w:rStyle w:val="Hyperlink"/>
            <w:rFonts w:ascii="Arial" w:hAnsi="Arial" w:cs="Arial"/>
            <w:color w:val="auto"/>
            <w:u w:val="none"/>
          </w:rPr>
          <w:t>alex.machado@ufms.br</w:t>
        </w:r>
      </w:hyperlink>
      <w:r w:rsidRPr="00495049">
        <w:rPr>
          <w:rFonts w:ascii="Arial" w:hAnsi="Arial" w:cs="Arial"/>
        </w:rPr>
        <w:t xml:space="preserve"> </w:t>
      </w:r>
    </w:p>
    <w:p w14:paraId="174EA6D9" w14:textId="2D501039" w:rsidR="00495049" w:rsidRPr="00495049" w:rsidRDefault="00495049" w:rsidP="00495049">
      <w:pPr>
        <w:pStyle w:val="Textodenotaderodap"/>
        <w:rPr>
          <w:rFonts w:ascii="Arial" w:hAnsi="Arial" w:cs="Arial"/>
        </w:rPr>
      </w:pPr>
      <w:r w:rsidRPr="00495049">
        <w:rPr>
          <w:rFonts w:ascii="Arial" w:hAnsi="Arial" w:cs="Arial"/>
        </w:rPr>
        <w:t>Orcid: https://orcid.org/0000-0002-6118-2042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90B01" w14:textId="5E731D2D" w:rsidR="003D7895" w:rsidRPr="003D7895" w:rsidRDefault="003D7895" w:rsidP="003D7895">
    <w:pPr>
      <w:pStyle w:val="Cabealho"/>
    </w:pPr>
    <w:r>
      <w:rPr>
        <w:noProof/>
      </w:rPr>
      <w:drawing>
        <wp:anchor distT="0" distB="0" distL="114300" distR="114300" simplePos="0" relativeHeight="251670528" behindDoc="1" locked="0" layoutInCell="1" allowOverlap="1" wp14:anchorId="0133216A" wp14:editId="61CA0CD6">
          <wp:simplePos x="0" y="0"/>
          <wp:positionH relativeFrom="page">
            <wp:align>right</wp:align>
          </wp:positionH>
          <wp:positionV relativeFrom="paragraph">
            <wp:posOffset>-450215</wp:posOffset>
          </wp:positionV>
          <wp:extent cx="7546488" cy="10674350"/>
          <wp:effectExtent l="0" t="0" r="0" b="0"/>
          <wp:wrapNone/>
          <wp:docPr id="1274939875" name="Imagem 5" descr="Padrão do plano de fun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939875" name="Imagem 5" descr="Padrão do plano de fundo"/>
                  <pic:cNvPicPr/>
                </pic:nvPicPr>
                <pic:blipFill>
                  <a:blip r:embed="rId1">
                    <a:extLst>
                      <a:ext uri="{28A0092B-C50C-407E-A947-70E740481C1C}">
                        <a14:useLocalDpi xmlns:a14="http://schemas.microsoft.com/office/drawing/2010/main" val="0"/>
                      </a:ext>
                    </a:extLst>
                  </a:blip>
                  <a:stretch>
                    <a:fillRect/>
                  </a:stretch>
                </pic:blipFill>
                <pic:spPr>
                  <a:xfrm>
                    <a:off x="0" y="0"/>
                    <a:ext cx="7546488" cy="1067435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38AFE" w14:textId="4C661324" w:rsidR="003D7895" w:rsidRPr="003D7895" w:rsidRDefault="003D7895" w:rsidP="003D7895">
    <w:pPr>
      <w:pStyle w:val="Cabealho"/>
    </w:pPr>
    <w:r>
      <w:rPr>
        <w:noProof/>
      </w:rPr>
      <w:drawing>
        <wp:anchor distT="0" distB="0" distL="114300" distR="114300" simplePos="0" relativeHeight="251669504" behindDoc="1" locked="0" layoutInCell="1" allowOverlap="1" wp14:anchorId="02F91B95" wp14:editId="503C7F5E">
          <wp:simplePos x="0" y="0"/>
          <wp:positionH relativeFrom="page">
            <wp:align>right</wp:align>
          </wp:positionH>
          <wp:positionV relativeFrom="paragraph">
            <wp:posOffset>-450215</wp:posOffset>
          </wp:positionV>
          <wp:extent cx="7549100" cy="10677525"/>
          <wp:effectExtent l="0" t="0" r="0" b="0"/>
          <wp:wrapNone/>
          <wp:docPr id="462434209" name="Imagem 4" descr="Padrão do plano de fun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434209" name="Imagem 4" descr="Padrão do plano de fundo"/>
                  <pic:cNvPicPr/>
                </pic:nvPicPr>
                <pic:blipFill>
                  <a:blip r:embed="rId1">
                    <a:extLst>
                      <a:ext uri="{28A0092B-C50C-407E-A947-70E740481C1C}">
                        <a14:useLocalDpi xmlns:a14="http://schemas.microsoft.com/office/drawing/2010/main" val="0"/>
                      </a:ext>
                    </a:extLst>
                  </a:blip>
                  <a:stretch>
                    <a:fillRect/>
                  </a:stretch>
                </pic:blipFill>
                <pic:spPr>
                  <a:xfrm>
                    <a:off x="0" y="0"/>
                    <a:ext cx="7549100" cy="1067752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C76"/>
    <w:rsid w:val="00022E74"/>
    <w:rsid w:val="000259D9"/>
    <w:rsid w:val="00054B26"/>
    <w:rsid w:val="000A6306"/>
    <w:rsid w:val="000D1454"/>
    <w:rsid w:val="000E1767"/>
    <w:rsid w:val="000F39BB"/>
    <w:rsid w:val="00147156"/>
    <w:rsid w:val="001702F5"/>
    <w:rsid w:val="00190492"/>
    <w:rsid w:val="001E2647"/>
    <w:rsid w:val="001E40C7"/>
    <w:rsid w:val="001E7965"/>
    <w:rsid w:val="0022270B"/>
    <w:rsid w:val="00231A49"/>
    <w:rsid w:val="002B21C1"/>
    <w:rsid w:val="002C61AA"/>
    <w:rsid w:val="002C64B5"/>
    <w:rsid w:val="002F247F"/>
    <w:rsid w:val="00300D14"/>
    <w:rsid w:val="003B152A"/>
    <w:rsid w:val="003D7895"/>
    <w:rsid w:val="003E037A"/>
    <w:rsid w:val="003F5D0E"/>
    <w:rsid w:val="00402819"/>
    <w:rsid w:val="00460195"/>
    <w:rsid w:val="004607F5"/>
    <w:rsid w:val="00461994"/>
    <w:rsid w:val="00495049"/>
    <w:rsid w:val="004C0E4F"/>
    <w:rsid w:val="004F3AC5"/>
    <w:rsid w:val="005000B0"/>
    <w:rsid w:val="00543EAE"/>
    <w:rsid w:val="00587E3E"/>
    <w:rsid w:val="005A1E8A"/>
    <w:rsid w:val="005A7A2C"/>
    <w:rsid w:val="005B6393"/>
    <w:rsid w:val="00621469"/>
    <w:rsid w:val="006757B8"/>
    <w:rsid w:val="00696BBD"/>
    <w:rsid w:val="006C1C04"/>
    <w:rsid w:val="006E223B"/>
    <w:rsid w:val="00735FC4"/>
    <w:rsid w:val="0074010D"/>
    <w:rsid w:val="00770932"/>
    <w:rsid w:val="007A16D6"/>
    <w:rsid w:val="007A3269"/>
    <w:rsid w:val="007C72A2"/>
    <w:rsid w:val="0083571F"/>
    <w:rsid w:val="00891A06"/>
    <w:rsid w:val="00917991"/>
    <w:rsid w:val="00936553"/>
    <w:rsid w:val="00A6206B"/>
    <w:rsid w:val="00B930F2"/>
    <w:rsid w:val="00BA6E63"/>
    <w:rsid w:val="00BE0424"/>
    <w:rsid w:val="00BE4ABA"/>
    <w:rsid w:val="00BE6C76"/>
    <w:rsid w:val="00C44573"/>
    <w:rsid w:val="00C57E0E"/>
    <w:rsid w:val="00C74DE5"/>
    <w:rsid w:val="00C8336D"/>
    <w:rsid w:val="00C87EF6"/>
    <w:rsid w:val="00C97E41"/>
    <w:rsid w:val="00CC6548"/>
    <w:rsid w:val="00D00C67"/>
    <w:rsid w:val="00D20783"/>
    <w:rsid w:val="00D80AF2"/>
    <w:rsid w:val="00D97DE7"/>
    <w:rsid w:val="00DA555D"/>
    <w:rsid w:val="00E02AF8"/>
    <w:rsid w:val="00E27E66"/>
    <w:rsid w:val="00EA0107"/>
    <w:rsid w:val="00EB5AB5"/>
    <w:rsid w:val="00EC33C6"/>
    <w:rsid w:val="00EE3074"/>
    <w:rsid w:val="00EE5DB4"/>
    <w:rsid w:val="00EF7BFF"/>
    <w:rsid w:val="00F14615"/>
    <w:rsid w:val="00F65664"/>
    <w:rsid w:val="00F87935"/>
    <w:rsid w:val="00FC06AF"/>
    <w:rsid w:val="00FE52D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ABE863"/>
  <w15:chartTrackingRefBased/>
  <w15:docId w15:val="{894E79BC-C17A-429B-81AA-B07494BC1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AF2"/>
  </w:style>
  <w:style w:type="paragraph" w:styleId="Ttulo1">
    <w:name w:val="heading 1"/>
    <w:basedOn w:val="Normal"/>
    <w:next w:val="Normal"/>
    <w:link w:val="Ttulo1Char"/>
    <w:uiPriority w:val="9"/>
    <w:qFormat/>
    <w:rsid w:val="00EA0107"/>
    <w:pPr>
      <w:keepNext/>
      <w:keepLines/>
      <w:widowControl w:val="0"/>
      <w:autoSpaceDE w:val="0"/>
      <w:autoSpaceDN w:val="0"/>
      <w:spacing w:after="0" w:line="360" w:lineRule="auto"/>
      <w:jc w:val="both"/>
      <w:outlineLvl w:val="0"/>
    </w:pPr>
    <w:rPr>
      <w:rFonts w:ascii="Arial" w:eastAsiaTheme="majorEastAsia" w:hAnsi="Arial" w:cstheme="majorBidi"/>
      <w:kern w:val="0"/>
      <w:sz w:val="24"/>
      <w:szCs w:val="32"/>
      <w:lang w:eastAsia="pt-BR" w:bidi="pt-BR"/>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E6C7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E6C76"/>
  </w:style>
  <w:style w:type="paragraph" w:styleId="Rodap">
    <w:name w:val="footer"/>
    <w:basedOn w:val="Normal"/>
    <w:link w:val="RodapChar"/>
    <w:uiPriority w:val="99"/>
    <w:unhideWhenUsed/>
    <w:rsid w:val="00BE6C76"/>
    <w:pPr>
      <w:tabs>
        <w:tab w:val="center" w:pos="4252"/>
        <w:tab w:val="right" w:pos="8504"/>
      </w:tabs>
      <w:spacing w:after="0" w:line="240" w:lineRule="auto"/>
    </w:pPr>
  </w:style>
  <w:style w:type="character" w:customStyle="1" w:styleId="RodapChar">
    <w:name w:val="Rodapé Char"/>
    <w:basedOn w:val="Fontepargpadro"/>
    <w:link w:val="Rodap"/>
    <w:uiPriority w:val="99"/>
    <w:rsid w:val="00BE6C76"/>
  </w:style>
  <w:style w:type="table" w:styleId="Tabelacomgrade">
    <w:name w:val="Table Grid"/>
    <w:basedOn w:val="Tabelanormal"/>
    <w:rsid w:val="00BE6C76"/>
    <w:pPr>
      <w:spacing w:after="0" w:line="240" w:lineRule="auto"/>
    </w:pPr>
    <w:rPr>
      <w:rFonts w:ascii="Times New Roman" w:eastAsia="Times New Roman" w:hAnsi="Times New Roman" w:cs="Times New Roman"/>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rsid w:val="00BE6C76"/>
    <w:rPr>
      <w:color w:val="0563C1" w:themeColor="hyperlink"/>
      <w:u w:val="single"/>
    </w:rPr>
  </w:style>
  <w:style w:type="paragraph" w:styleId="NormalWeb">
    <w:name w:val="Normal (Web)"/>
    <w:basedOn w:val="Normal"/>
    <w:uiPriority w:val="99"/>
    <w:unhideWhenUsed/>
    <w:rsid w:val="00BE6C76"/>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styleId="Reviso">
    <w:name w:val="Revision"/>
    <w:hidden/>
    <w:uiPriority w:val="99"/>
    <w:semiHidden/>
    <w:rsid w:val="002C64B5"/>
    <w:pPr>
      <w:spacing w:after="0" w:line="240" w:lineRule="auto"/>
    </w:pPr>
  </w:style>
  <w:style w:type="paragraph" w:styleId="Subttulo">
    <w:name w:val="Subtitle"/>
    <w:basedOn w:val="Normal"/>
    <w:next w:val="Normal"/>
    <w:link w:val="SubttuloChar"/>
    <w:uiPriority w:val="11"/>
    <w:qFormat/>
    <w:rsid w:val="00EE5DB4"/>
    <w:pPr>
      <w:numPr>
        <w:ilvl w:val="1"/>
      </w:numPr>
    </w:pPr>
    <w:rPr>
      <w:rFonts w:eastAsiaTheme="minorEastAsia"/>
      <w:color w:val="5A5A5A" w:themeColor="text1" w:themeTint="A5"/>
      <w:spacing w:val="15"/>
    </w:rPr>
  </w:style>
  <w:style w:type="character" w:customStyle="1" w:styleId="SubttuloChar">
    <w:name w:val="Subtítulo Char"/>
    <w:basedOn w:val="Fontepargpadro"/>
    <w:link w:val="Subttulo"/>
    <w:uiPriority w:val="11"/>
    <w:rsid w:val="00EE5DB4"/>
    <w:rPr>
      <w:rFonts w:eastAsiaTheme="minorEastAsia"/>
      <w:color w:val="5A5A5A" w:themeColor="text1" w:themeTint="A5"/>
      <w:spacing w:val="15"/>
    </w:rPr>
  </w:style>
  <w:style w:type="character" w:customStyle="1" w:styleId="Ttulo1Char">
    <w:name w:val="Título 1 Char"/>
    <w:basedOn w:val="Fontepargpadro"/>
    <w:link w:val="Ttulo1"/>
    <w:uiPriority w:val="9"/>
    <w:rsid w:val="00EA0107"/>
    <w:rPr>
      <w:rFonts w:ascii="Arial" w:eastAsiaTheme="majorEastAsia" w:hAnsi="Arial" w:cstheme="majorBidi"/>
      <w:kern w:val="0"/>
      <w:sz w:val="24"/>
      <w:szCs w:val="32"/>
      <w:lang w:eastAsia="pt-BR" w:bidi="pt-BR"/>
      <w14:ligatures w14:val="none"/>
    </w:rPr>
  </w:style>
  <w:style w:type="character" w:styleId="MenoPendente">
    <w:name w:val="Unresolved Mention"/>
    <w:basedOn w:val="Fontepargpadro"/>
    <w:uiPriority w:val="99"/>
    <w:semiHidden/>
    <w:unhideWhenUsed/>
    <w:rsid w:val="00300D14"/>
    <w:rPr>
      <w:color w:val="605E5C"/>
      <w:shd w:val="clear" w:color="auto" w:fill="E1DFDD"/>
    </w:rPr>
  </w:style>
  <w:style w:type="paragraph" w:styleId="Textodenotaderodap">
    <w:name w:val="footnote text"/>
    <w:basedOn w:val="Normal"/>
    <w:link w:val="TextodenotaderodapChar"/>
    <w:uiPriority w:val="99"/>
    <w:semiHidden/>
    <w:unhideWhenUsed/>
    <w:rsid w:val="00495049"/>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495049"/>
    <w:rPr>
      <w:sz w:val="20"/>
      <w:szCs w:val="20"/>
    </w:rPr>
  </w:style>
  <w:style w:type="character" w:styleId="Refdenotaderodap">
    <w:name w:val="footnote reference"/>
    <w:basedOn w:val="Fontepargpadro"/>
    <w:uiPriority w:val="99"/>
    <w:semiHidden/>
    <w:unhideWhenUsed/>
    <w:rsid w:val="0049504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034588">
      <w:bodyDiv w:val="1"/>
      <w:marLeft w:val="0"/>
      <w:marRight w:val="0"/>
      <w:marTop w:val="0"/>
      <w:marBottom w:val="0"/>
      <w:divBdr>
        <w:top w:val="none" w:sz="0" w:space="0" w:color="auto"/>
        <w:left w:val="none" w:sz="0" w:space="0" w:color="auto"/>
        <w:bottom w:val="none" w:sz="0" w:space="0" w:color="auto"/>
        <w:right w:val="none" w:sz="0" w:space="0" w:color="auto"/>
      </w:divBdr>
      <w:divsChild>
        <w:div w:id="1354696465">
          <w:marLeft w:val="0"/>
          <w:marRight w:val="0"/>
          <w:marTop w:val="0"/>
          <w:marBottom w:val="0"/>
          <w:divBdr>
            <w:top w:val="none" w:sz="0" w:space="0" w:color="auto"/>
            <w:left w:val="none" w:sz="0" w:space="0" w:color="auto"/>
            <w:bottom w:val="none" w:sz="0" w:space="0" w:color="auto"/>
            <w:right w:val="none" w:sz="0" w:space="0" w:color="auto"/>
          </w:divBdr>
        </w:div>
      </w:divsChild>
    </w:div>
    <w:div w:id="1185362624">
      <w:bodyDiv w:val="1"/>
      <w:marLeft w:val="0"/>
      <w:marRight w:val="0"/>
      <w:marTop w:val="0"/>
      <w:marBottom w:val="0"/>
      <w:divBdr>
        <w:top w:val="none" w:sz="0" w:space="0" w:color="auto"/>
        <w:left w:val="none" w:sz="0" w:space="0" w:color="auto"/>
        <w:bottom w:val="none" w:sz="0" w:space="0" w:color="auto"/>
        <w:right w:val="none" w:sz="0" w:space="0" w:color="auto"/>
      </w:divBdr>
      <w:divsChild>
        <w:div w:id="1549341339">
          <w:marLeft w:val="0"/>
          <w:marRight w:val="0"/>
          <w:marTop w:val="0"/>
          <w:marBottom w:val="0"/>
          <w:divBdr>
            <w:top w:val="none" w:sz="0" w:space="0" w:color="auto"/>
            <w:left w:val="none" w:sz="0" w:space="0" w:color="auto"/>
            <w:bottom w:val="none" w:sz="0" w:space="0" w:color="auto"/>
            <w:right w:val="none" w:sz="0" w:space="0" w:color="auto"/>
          </w:divBdr>
        </w:div>
      </w:divsChild>
    </w:div>
    <w:div w:id="1620838293">
      <w:bodyDiv w:val="1"/>
      <w:marLeft w:val="0"/>
      <w:marRight w:val="0"/>
      <w:marTop w:val="0"/>
      <w:marBottom w:val="0"/>
      <w:divBdr>
        <w:top w:val="none" w:sz="0" w:space="0" w:color="auto"/>
        <w:left w:val="none" w:sz="0" w:space="0" w:color="auto"/>
        <w:bottom w:val="none" w:sz="0" w:space="0" w:color="auto"/>
        <w:right w:val="none" w:sz="0" w:space="0" w:color="auto"/>
      </w:divBdr>
      <w:divsChild>
        <w:div w:id="2116368454">
          <w:marLeft w:val="0"/>
          <w:marRight w:val="0"/>
          <w:marTop w:val="0"/>
          <w:marBottom w:val="0"/>
          <w:divBdr>
            <w:top w:val="none" w:sz="0" w:space="0" w:color="auto"/>
            <w:left w:val="none" w:sz="0" w:space="0" w:color="auto"/>
            <w:bottom w:val="none" w:sz="0" w:space="0" w:color="auto"/>
            <w:right w:val="none" w:sz="0" w:space="0" w:color="auto"/>
          </w:divBdr>
        </w:div>
      </w:divsChild>
    </w:div>
    <w:div w:id="1961109801">
      <w:bodyDiv w:val="1"/>
      <w:marLeft w:val="0"/>
      <w:marRight w:val="0"/>
      <w:marTop w:val="0"/>
      <w:marBottom w:val="0"/>
      <w:divBdr>
        <w:top w:val="none" w:sz="0" w:space="0" w:color="auto"/>
        <w:left w:val="none" w:sz="0" w:space="0" w:color="auto"/>
        <w:bottom w:val="none" w:sz="0" w:space="0" w:color="auto"/>
        <w:right w:val="none" w:sz="0" w:space="0" w:color="auto"/>
      </w:divBdr>
      <w:divsChild>
        <w:div w:id="1970850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4.jpg"/><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2" Type="http://schemas.openxmlformats.org/officeDocument/2006/relationships/hyperlink" Target="mailto:alex.machado@ufms.br" TargetMode="External"/><Relationship Id="rId1" Type="http://schemas.openxmlformats.org/officeDocument/2006/relationships/hyperlink" Target="mailto:andre.val&#233;rio@ufms.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67cbbc7-5fcb-4ba6-98a9-b4c6ba585874">
      <Terms xmlns="http://schemas.microsoft.com/office/infopath/2007/PartnerControls"/>
    </lcf76f155ced4ddcb4097134ff3c332f>
    <TaxCatchAll xmlns="ab59ece7-4e03-4460-9695-622a8910986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EF04C062C1C63B4DBF51CDF000291E07" ma:contentTypeVersion="10" ma:contentTypeDescription="Crie um novo documento." ma:contentTypeScope="" ma:versionID="7dbe95ed316421d43b48e3375f4664ad">
  <xsd:schema xmlns:xsd="http://www.w3.org/2001/XMLSchema" xmlns:xs="http://www.w3.org/2001/XMLSchema" xmlns:p="http://schemas.microsoft.com/office/2006/metadata/properties" xmlns:ns2="667cbbc7-5fcb-4ba6-98a9-b4c6ba585874" xmlns:ns3="ab59ece7-4e03-4460-9695-622a89109861" targetNamespace="http://schemas.microsoft.com/office/2006/metadata/properties" ma:root="true" ma:fieldsID="7f6215b73542c1e588bee97630fc8df3" ns2:_="" ns3:_="">
    <xsd:import namespace="667cbbc7-5fcb-4ba6-98a9-b4c6ba585874"/>
    <xsd:import namespace="ab59ece7-4e03-4460-9695-622a8910986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7cbbc7-5fcb-4ba6-98a9-b4c6ba5858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Marcações de imagem" ma:readOnly="false" ma:fieldId="{5cf76f15-5ced-4ddc-b409-7134ff3c332f}" ma:taxonomyMulti="true" ma:sspId="c8b457a5-7dfb-4b82-99b5-823f540571b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59ece7-4e03-4460-9695-622a8910986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eaec031-2a5f-4614-9eeb-23ec0ef69318}" ma:internalName="TaxCatchAll" ma:showField="CatchAllData" ma:web="ab59ece7-4e03-4460-9695-622a891098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694124-3A08-4809-AC7C-8031F5983C02}">
  <ds:schemaRefs>
    <ds:schemaRef ds:uri="http://schemas.microsoft.com/sharepoint/v3/contenttype/forms"/>
  </ds:schemaRefs>
</ds:datastoreItem>
</file>

<file path=customXml/itemProps2.xml><?xml version="1.0" encoding="utf-8"?>
<ds:datastoreItem xmlns:ds="http://schemas.openxmlformats.org/officeDocument/2006/customXml" ds:itemID="{6F616412-8328-4E80-A79D-88B10AECFFFF}">
  <ds:schemaRefs>
    <ds:schemaRef ds:uri="http://schemas.microsoft.com/office/2006/metadata/properties"/>
    <ds:schemaRef ds:uri="http://schemas.microsoft.com/office/infopath/2007/PartnerControls"/>
    <ds:schemaRef ds:uri="667cbbc7-5fcb-4ba6-98a9-b4c6ba585874"/>
    <ds:schemaRef ds:uri="ab59ece7-4e03-4460-9695-622a89109861"/>
  </ds:schemaRefs>
</ds:datastoreItem>
</file>

<file path=customXml/itemProps3.xml><?xml version="1.0" encoding="utf-8"?>
<ds:datastoreItem xmlns:ds="http://schemas.openxmlformats.org/officeDocument/2006/customXml" ds:itemID="{CE13E606-0EDF-43D4-BD6D-D3FB62BCB9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7cbbc7-5fcb-4ba6-98a9-b4c6ba585874"/>
    <ds:schemaRef ds:uri="ab59ece7-4e03-4460-9695-622a891098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CCAE69-9230-413D-8665-773B617BF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21</Pages>
  <Words>8898</Words>
  <Characters>48051</Characters>
  <Application>Microsoft Office Word</Application>
  <DocSecurity>0</DocSecurity>
  <Lines>400</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Ferreira de Moraes</dc:creator>
  <cp:keywords/>
  <dc:description/>
  <cp:lastModifiedBy>Isabele Carvalho</cp:lastModifiedBy>
  <cp:revision>3</cp:revision>
  <cp:lastPrinted>2024-01-18T17:13:00Z</cp:lastPrinted>
  <dcterms:created xsi:type="dcterms:W3CDTF">2025-11-04T01:13:00Z</dcterms:created>
  <dcterms:modified xsi:type="dcterms:W3CDTF">2025-11-04T01:15:00Z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0x010100EF04C062C1C63B4DBF51CDF000291E07</vt:lpwstr>
  </property>
</Properties>
</file>