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AF54CC" w:rsidRDefault="00D05562" w:rsidP="00703EF1">
      <w:pPr>
        <w:spacing w:after="0" w:line="240" w:lineRule="auto"/>
        <w:jc w:val="center"/>
        <w:rPr>
          <w:rFonts w:ascii="Times New Roman" w:eastAsiaTheme="minorEastAsia" w:hAnsi="Times New Roman" w:cs="Times New Roman"/>
          <w:b/>
          <w:bCs/>
          <w:spacing w:val="15"/>
          <w:sz w:val="24"/>
          <w:szCs w:val="24"/>
        </w:rPr>
        <w:sectPr w:rsidR="00D05562" w:rsidRPr="00AF54CC" w:rsidSect="00AE3A1B">
          <w:headerReference w:type="default" r:id="rId8"/>
          <w:footerReference w:type="default" r:id="rId9"/>
          <w:pgSz w:w="11906" w:h="16838"/>
          <w:pgMar w:top="1985" w:right="1077" w:bottom="1077" w:left="1077" w:header="709" w:footer="709" w:gutter="0"/>
          <w:pgNumType w:start="37255"/>
          <w:cols w:space="708"/>
          <w:docGrid w:linePitch="360"/>
        </w:sectPr>
      </w:pPr>
      <w:bookmarkStart w:id="0" w:name="_Hlk178013420"/>
      <w:bookmarkStart w:id="1" w:name="_Hlk178013346"/>
      <w:bookmarkStart w:id="2" w:name="_Hlk178013219"/>
    </w:p>
    <w:p w14:paraId="62529AF7" w14:textId="07DB978C" w:rsidR="00BF123C" w:rsidRDefault="00703EF1" w:rsidP="00703EF1">
      <w:pPr>
        <w:spacing w:after="0" w:line="240" w:lineRule="auto"/>
        <w:jc w:val="center"/>
        <w:rPr>
          <w:rFonts w:ascii="Times New Roman" w:hAnsi="Times New Roman" w:cs="Times New Roman"/>
          <w:b/>
          <w:sz w:val="24"/>
          <w:szCs w:val="24"/>
        </w:rPr>
      </w:pPr>
      <w:bookmarkStart w:id="3" w:name="_Hlk178013429"/>
      <w:bookmarkEnd w:id="0"/>
      <w:r w:rsidRPr="00703EF1">
        <w:rPr>
          <w:rFonts w:ascii="Times New Roman" w:hAnsi="Times New Roman" w:cs="Times New Roman"/>
          <w:b/>
          <w:sz w:val="24"/>
          <w:szCs w:val="24"/>
        </w:rPr>
        <w:t>A SEVERIDADE DA PUNIÇÃO DISCIPLINAR COMO REFLEXO DO TIPO DE INFRAÇÃO ÉTICO-PROFISSIONAL NA CONTABILIDADE</w:t>
      </w:r>
      <w:r>
        <w:rPr>
          <w:rFonts w:ascii="Times New Roman" w:hAnsi="Times New Roman" w:cs="Times New Roman"/>
          <w:b/>
          <w:sz w:val="24"/>
          <w:szCs w:val="24"/>
        </w:rPr>
        <w:t xml:space="preserve"> </w:t>
      </w:r>
    </w:p>
    <w:p w14:paraId="70E33CB6" w14:textId="77777777" w:rsidR="00703EF1" w:rsidRPr="003469E0" w:rsidRDefault="00703EF1" w:rsidP="00AF54CC">
      <w:pPr>
        <w:spacing w:after="0" w:line="240" w:lineRule="auto"/>
        <w:jc w:val="center"/>
        <w:rPr>
          <w:rFonts w:ascii="Times New Roman" w:eastAsiaTheme="minorEastAsia" w:hAnsi="Times New Roman" w:cs="Times New Roman"/>
          <w:b/>
          <w:bCs/>
          <w:spacing w:val="15"/>
          <w:sz w:val="24"/>
          <w:szCs w:val="24"/>
        </w:rPr>
      </w:pPr>
    </w:p>
    <w:p w14:paraId="15F16125" w14:textId="77777777" w:rsidR="00AF13C0" w:rsidRPr="00AF54CC" w:rsidRDefault="00AF13C0" w:rsidP="00AF54CC">
      <w:pPr>
        <w:spacing w:after="0" w:line="240" w:lineRule="auto"/>
        <w:jc w:val="both"/>
        <w:rPr>
          <w:rFonts w:ascii="Times New Roman" w:hAnsi="Times New Roman" w:cs="Times New Roman"/>
          <w:sz w:val="24"/>
          <w:szCs w:val="24"/>
        </w:rPr>
        <w:sectPr w:rsidR="00AF13C0" w:rsidRPr="00AF54CC"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AF54CC" w14:paraId="082A833A" w14:textId="77777777" w:rsidTr="00B119ED">
        <w:tc>
          <w:tcPr>
            <w:tcW w:w="546" w:type="dxa"/>
            <w:shd w:val="clear" w:color="auto" w:fill="FFFFFF" w:themeFill="background1"/>
            <w:vAlign w:val="center"/>
          </w:tcPr>
          <w:p w14:paraId="390C14F8" w14:textId="7A5BC929" w:rsidR="00BE6C76" w:rsidRPr="00AF54CC" w:rsidRDefault="000D1454" w:rsidP="00AF54CC">
            <w:pPr>
              <w:jc w:val="both"/>
              <w:rPr>
                <w:sz w:val="24"/>
                <w:szCs w:val="24"/>
              </w:rPr>
            </w:pPr>
            <w:r w:rsidRPr="00AF54CC">
              <w:rPr>
                <w:sz w:val="24"/>
                <w:szCs w:val="24"/>
              </w:rPr>
              <w:fldChar w:fldCharType="begin"/>
            </w:r>
            <w:r w:rsidRPr="00AF54CC">
              <w:rPr>
                <w:sz w:val="24"/>
                <w:szCs w:val="24"/>
              </w:rPr>
              <w:instrText xml:space="preserve"> INCLUDEPICTURE "https://galoa.com.br/wp-content/uploads/2022/05/doi-med.png" \* MERGEFORMATINET </w:instrText>
            </w:r>
            <w:r w:rsidRPr="00AF54CC">
              <w:rPr>
                <w:sz w:val="24"/>
                <w:szCs w:val="24"/>
              </w:rPr>
              <w:fldChar w:fldCharType="separate"/>
            </w:r>
            <w:r w:rsidRPr="00AF54CC">
              <w:rPr>
                <w:noProof/>
                <w:sz w:val="24"/>
                <w:szCs w:val="24"/>
              </w:rPr>
              <w:drawing>
                <wp:inline distT="0" distB="0" distL="0" distR="0" wp14:anchorId="3718BCBF" wp14:editId="4DAF9ABB">
                  <wp:extent cx="204788" cy="204515"/>
                  <wp:effectExtent l="0" t="0" r="5080" b="5080"/>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12" cy="220917"/>
                          </a:xfrm>
                          <a:prstGeom prst="rect">
                            <a:avLst/>
                          </a:prstGeom>
                          <a:noFill/>
                          <a:ln>
                            <a:noFill/>
                          </a:ln>
                        </pic:spPr>
                      </pic:pic>
                    </a:graphicData>
                  </a:graphic>
                </wp:inline>
              </w:drawing>
            </w:r>
            <w:r w:rsidRPr="00AF54CC">
              <w:rPr>
                <w:sz w:val="24"/>
                <w:szCs w:val="24"/>
              </w:rPr>
              <w:fldChar w:fldCharType="end"/>
            </w:r>
          </w:p>
        </w:tc>
        <w:tc>
          <w:tcPr>
            <w:tcW w:w="4143" w:type="dxa"/>
            <w:vAlign w:val="center"/>
          </w:tcPr>
          <w:p w14:paraId="1F8D3B59" w14:textId="088304FA" w:rsidR="00BE6C76" w:rsidRPr="00AF54CC" w:rsidRDefault="00B119ED" w:rsidP="00AF54CC">
            <w:pPr>
              <w:jc w:val="both"/>
            </w:pPr>
            <w:r w:rsidRPr="00AF54CC">
              <w:t>https://doi.org/</w:t>
            </w:r>
            <w:r w:rsidR="002A283E" w:rsidRPr="002A283E">
              <w:t>10.56238/arev7n7-</w:t>
            </w:r>
            <w:r w:rsidR="00AE3A1B">
              <w:t>118</w:t>
            </w:r>
          </w:p>
        </w:tc>
      </w:tr>
    </w:tbl>
    <w:p w14:paraId="3B1686FD" w14:textId="4B721559" w:rsidR="00BE6C76" w:rsidRPr="00AF54CC" w:rsidRDefault="00BE6C76" w:rsidP="00AF54CC">
      <w:pPr>
        <w:spacing w:after="0" w:line="240" w:lineRule="auto"/>
        <w:jc w:val="both"/>
        <w:rPr>
          <w:rFonts w:ascii="Times New Roman" w:hAnsi="Times New Roman" w:cs="Times New Roman"/>
          <w:sz w:val="24"/>
          <w:szCs w:val="24"/>
        </w:rPr>
      </w:pPr>
    </w:p>
    <w:p w14:paraId="18DC22C1" w14:textId="77777777" w:rsidR="00B51742" w:rsidRPr="00AF54CC" w:rsidRDefault="00B51742" w:rsidP="00AF54CC">
      <w:pPr>
        <w:spacing w:after="0" w:line="240" w:lineRule="auto"/>
        <w:jc w:val="both"/>
        <w:rPr>
          <w:rFonts w:ascii="Times New Roman" w:hAnsi="Times New Roman" w:cs="Times New Roman"/>
          <w:b/>
          <w:bCs/>
          <w:sz w:val="24"/>
          <w:szCs w:val="24"/>
        </w:rPr>
        <w:sectPr w:rsidR="00B51742" w:rsidRPr="00AF54CC" w:rsidSect="00D05562">
          <w:type w:val="continuous"/>
          <w:pgSz w:w="11906" w:h="16838"/>
          <w:pgMar w:top="1985" w:right="1077" w:bottom="1077" w:left="1077" w:header="709" w:footer="709" w:gutter="0"/>
          <w:cols w:space="708"/>
          <w:titlePg/>
          <w:docGrid w:linePitch="360"/>
        </w:sectPr>
      </w:pPr>
      <w:bookmarkStart w:id="4" w:name="_Hlk178013435"/>
    </w:p>
    <w:p w14:paraId="53A415D5" w14:textId="272877A6" w:rsidR="00B51742" w:rsidRPr="00AF54CC" w:rsidRDefault="00003167" w:rsidP="00AF54CC">
      <w:pPr>
        <w:spacing w:after="0" w:line="240" w:lineRule="auto"/>
        <w:jc w:val="center"/>
        <w:rPr>
          <w:rFonts w:ascii="Times New Roman" w:hAnsi="Times New Roman" w:cs="Times New Roman"/>
          <w:b/>
          <w:bCs/>
          <w:sz w:val="20"/>
          <w:szCs w:val="20"/>
        </w:rPr>
      </w:pPr>
      <w:r w:rsidRPr="00AF54CC">
        <w:rPr>
          <w:rFonts w:ascii="Times New Roman" w:hAnsi="Times New Roman" w:cs="Times New Roman"/>
          <w:b/>
          <w:bCs/>
          <w:sz w:val="20"/>
          <w:szCs w:val="20"/>
        </w:rPr>
        <w:t xml:space="preserve">Data de submissão: </w:t>
      </w:r>
      <w:r w:rsidRPr="00AF54CC">
        <w:rPr>
          <w:rFonts w:ascii="Times New Roman" w:hAnsi="Times New Roman" w:cs="Times New Roman"/>
          <w:sz w:val="20"/>
          <w:szCs w:val="20"/>
        </w:rPr>
        <w:t xml:space="preserve"> 0</w:t>
      </w:r>
      <w:r w:rsidR="002A283E">
        <w:rPr>
          <w:rFonts w:ascii="Times New Roman" w:hAnsi="Times New Roman" w:cs="Times New Roman"/>
          <w:sz w:val="20"/>
          <w:szCs w:val="20"/>
        </w:rPr>
        <w:t>8</w:t>
      </w:r>
      <w:r w:rsidRPr="00AF54CC">
        <w:rPr>
          <w:rFonts w:ascii="Times New Roman" w:hAnsi="Times New Roman" w:cs="Times New Roman"/>
          <w:sz w:val="20"/>
          <w:szCs w:val="20"/>
        </w:rPr>
        <w:t>/0</w:t>
      </w:r>
      <w:r w:rsidR="002A283E">
        <w:rPr>
          <w:rFonts w:ascii="Times New Roman" w:hAnsi="Times New Roman" w:cs="Times New Roman"/>
          <w:sz w:val="20"/>
          <w:szCs w:val="20"/>
        </w:rPr>
        <w:t>6</w:t>
      </w:r>
      <w:r w:rsidRPr="00AF54CC">
        <w:rPr>
          <w:rFonts w:ascii="Times New Roman" w:hAnsi="Times New Roman" w:cs="Times New Roman"/>
          <w:sz w:val="20"/>
          <w:szCs w:val="20"/>
        </w:rPr>
        <w:t>/</w:t>
      </w:r>
      <w:r w:rsidR="002A283E">
        <w:rPr>
          <w:rFonts w:ascii="Times New Roman" w:hAnsi="Times New Roman" w:cs="Times New Roman"/>
          <w:sz w:val="20"/>
          <w:szCs w:val="20"/>
        </w:rPr>
        <w:t>2025</w:t>
      </w:r>
    </w:p>
    <w:p w14:paraId="504FE17C" w14:textId="4550E28D" w:rsidR="00003167" w:rsidRPr="002A283E" w:rsidRDefault="00003167" w:rsidP="002A283E">
      <w:pPr>
        <w:spacing w:after="0" w:line="240" w:lineRule="auto"/>
        <w:jc w:val="center"/>
        <w:rPr>
          <w:rFonts w:ascii="Times New Roman" w:hAnsi="Times New Roman" w:cs="Times New Roman"/>
          <w:b/>
          <w:bCs/>
          <w:sz w:val="20"/>
          <w:szCs w:val="20"/>
        </w:rPr>
        <w:sectPr w:rsidR="00003167" w:rsidRPr="002A283E" w:rsidSect="00D05562">
          <w:headerReference w:type="first" r:id="rId11"/>
          <w:type w:val="continuous"/>
          <w:pgSz w:w="11906" w:h="16838"/>
          <w:pgMar w:top="1985" w:right="1077" w:bottom="1077" w:left="1077" w:header="737" w:footer="709" w:gutter="0"/>
          <w:cols w:num="2" w:space="708"/>
          <w:titlePg/>
          <w:docGrid w:linePitch="360"/>
        </w:sectPr>
      </w:pPr>
      <w:r w:rsidRPr="00AF54CC">
        <w:rPr>
          <w:rFonts w:ascii="Times New Roman" w:hAnsi="Times New Roman" w:cs="Times New Roman"/>
          <w:b/>
          <w:bCs/>
          <w:sz w:val="20"/>
          <w:szCs w:val="20"/>
        </w:rPr>
        <w:t xml:space="preserve">Data de Publicação: </w:t>
      </w:r>
      <w:r w:rsidRPr="00AF54CC">
        <w:rPr>
          <w:rFonts w:ascii="Times New Roman" w:hAnsi="Times New Roman" w:cs="Times New Roman"/>
          <w:sz w:val="20"/>
          <w:szCs w:val="20"/>
        </w:rPr>
        <w:t>0</w:t>
      </w:r>
      <w:r w:rsidR="002A283E">
        <w:rPr>
          <w:rFonts w:ascii="Times New Roman" w:hAnsi="Times New Roman" w:cs="Times New Roman"/>
          <w:sz w:val="20"/>
          <w:szCs w:val="20"/>
        </w:rPr>
        <w:t>8</w:t>
      </w:r>
      <w:r w:rsidRPr="00AF54CC">
        <w:rPr>
          <w:rFonts w:ascii="Times New Roman" w:hAnsi="Times New Roman" w:cs="Times New Roman"/>
          <w:sz w:val="20"/>
          <w:szCs w:val="20"/>
        </w:rPr>
        <w:t>/0</w:t>
      </w:r>
      <w:r w:rsidR="002A283E">
        <w:rPr>
          <w:rFonts w:ascii="Times New Roman" w:hAnsi="Times New Roman" w:cs="Times New Roman"/>
          <w:sz w:val="20"/>
          <w:szCs w:val="20"/>
        </w:rPr>
        <w:t>7</w:t>
      </w:r>
      <w:r w:rsidRPr="00AF54CC">
        <w:rPr>
          <w:rFonts w:ascii="Times New Roman" w:hAnsi="Times New Roman" w:cs="Times New Roman"/>
          <w:sz w:val="20"/>
          <w:szCs w:val="20"/>
        </w:rPr>
        <w:t>/</w:t>
      </w:r>
      <w:r w:rsidR="002A283E">
        <w:rPr>
          <w:rFonts w:ascii="Times New Roman" w:hAnsi="Times New Roman" w:cs="Times New Roman"/>
          <w:sz w:val="20"/>
          <w:szCs w:val="20"/>
        </w:rPr>
        <w:t>2025</w:t>
      </w:r>
    </w:p>
    <w:p w14:paraId="28E006D2" w14:textId="77777777" w:rsidR="00003167" w:rsidRPr="00AF54CC" w:rsidRDefault="00003167" w:rsidP="00AF54CC">
      <w:pPr>
        <w:spacing w:after="0" w:line="240" w:lineRule="auto"/>
        <w:jc w:val="center"/>
        <w:rPr>
          <w:rFonts w:ascii="Times New Roman" w:hAnsi="Times New Roman" w:cs="Times New Roman"/>
          <w:b/>
          <w:bCs/>
          <w:sz w:val="24"/>
          <w:szCs w:val="24"/>
        </w:rPr>
      </w:pPr>
    </w:p>
    <w:bookmarkEnd w:id="4"/>
    <w:p w14:paraId="080ED8C0" w14:textId="77777777" w:rsidR="003469E0" w:rsidRDefault="003469E0" w:rsidP="00AF54CC">
      <w:pPr>
        <w:spacing w:after="0" w:line="240" w:lineRule="auto"/>
        <w:jc w:val="right"/>
        <w:rPr>
          <w:rFonts w:ascii="Times New Roman" w:hAnsi="Times New Roman" w:cs="Times New Roman"/>
          <w:b/>
          <w:bCs/>
          <w:sz w:val="24"/>
          <w:szCs w:val="24"/>
        </w:rPr>
      </w:pPr>
    </w:p>
    <w:p w14:paraId="4A7AFA85"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b/>
          <w:bCs/>
          <w:sz w:val="24"/>
          <w:szCs w:val="24"/>
        </w:rPr>
        <w:t xml:space="preserve">José </w:t>
      </w:r>
      <w:proofErr w:type="spellStart"/>
      <w:r w:rsidRPr="00703EF1">
        <w:rPr>
          <w:rFonts w:ascii="Times New Roman" w:hAnsi="Times New Roman" w:cs="Times New Roman"/>
          <w:b/>
          <w:bCs/>
          <w:sz w:val="24"/>
          <w:szCs w:val="24"/>
        </w:rPr>
        <w:t>Ricarte</w:t>
      </w:r>
      <w:proofErr w:type="spellEnd"/>
      <w:r w:rsidRPr="00703EF1">
        <w:rPr>
          <w:rFonts w:ascii="Times New Roman" w:hAnsi="Times New Roman" w:cs="Times New Roman"/>
          <w:b/>
          <w:bCs/>
          <w:sz w:val="24"/>
          <w:szCs w:val="24"/>
        </w:rPr>
        <w:t xml:space="preserve"> de Lima</w:t>
      </w:r>
    </w:p>
    <w:p w14:paraId="6AE98C5E"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Doutor em Ciências Contábeis pela Universidade do Vale do Rio dos Sinos - UNISINOS</w:t>
      </w:r>
    </w:p>
    <w:p w14:paraId="1CBADA00"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Professor no curso de Ciências Contábeis na Universidade do Estado de Mato Grosso – UNEMAT, campus de Cáceres.</w:t>
      </w:r>
    </w:p>
    <w:p w14:paraId="474A028C"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E-mail: jrcontabil@unemat.br</w:t>
      </w:r>
    </w:p>
    <w:p w14:paraId="7D5098CF"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sz w:val="24"/>
          <w:szCs w:val="24"/>
        </w:rPr>
        <w:t>ORCID: 0000.0002-5282-3274</w:t>
      </w:r>
    </w:p>
    <w:p w14:paraId="1803493E" w14:textId="77777777" w:rsidR="00703EF1" w:rsidRPr="00703EF1" w:rsidRDefault="00703EF1" w:rsidP="00703EF1">
      <w:pPr>
        <w:spacing w:after="0" w:line="240" w:lineRule="auto"/>
        <w:jc w:val="right"/>
        <w:rPr>
          <w:rFonts w:ascii="Times New Roman" w:hAnsi="Times New Roman" w:cs="Times New Roman"/>
          <w:b/>
          <w:bCs/>
          <w:sz w:val="24"/>
          <w:szCs w:val="24"/>
        </w:rPr>
      </w:pPr>
    </w:p>
    <w:p w14:paraId="511D95BB"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b/>
          <w:bCs/>
          <w:sz w:val="24"/>
          <w:szCs w:val="24"/>
        </w:rPr>
        <w:t>Aparecida de Fátima Alves de Lima</w:t>
      </w:r>
    </w:p>
    <w:p w14:paraId="77060856"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Doutora em Ciências Contábeis pela Universidade do Vale do Rio dos Sinos – UNISINOS</w:t>
      </w:r>
    </w:p>
    <w:p w14:paraId="3D7AD08A"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Professora Sênior na Universidade do Estado de Mato Grosso – UNEMAT.</w:t>
      </w:r>
    </w:p>
    <w:p w14:paraId="2B9F1D5E"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E-mail: afal.lima@gmail.com</w:t>
      </w:r>
    </w:p>
    <w:p w14:paraId="123673D2"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ORCID: 0000-0002-9278-2841</w:t>
      </w:r>
    </w:p>
    <w:p w14:paraId="4E05FC81" w14:textId="77777777" w:rsidR="00703EF1" w:rsidRPr="00703EF1" w:rsidRDefault="00703EF1" w:rsidP="00703EF1">
      <w:pPr>
        <w:spacing w:after="0" w:line="240" w:lineRule="auto"/>
        <w:jc w:val="right"/>
        <w:rPr>
          <w:rFonts w:ascii="Times New Roman" w:hAnsi="Times New Roman" w:cs="Times New Roman"/>
          <w:b/>
          <w:bCs/>
          <w:sz w:val="24"/>
          <w:szCs w:val="24"/>
        </w:rPr>
      </w:pPr>
    </w:p>
    <w:p w14:paraId="56B4CA10"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b/>
          <w:bCs/>
          <w:sz w:val="24"/>
          <w:szCs w:val="24"/>
        </w:rPr>
        <w:t>Elisangela Pires da Silva</w:t>
      </w:r>
    </w:p>
    <w:p w14:paraId="70B8A28C"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Doutora em Ciências Contábeis pela Universidade do Vale do Rio dos Sinos – UNISINOS</w:t>
      </w:r>
    </w:p>
    <w:p w14:paraId="7640D3C9"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Professora no curso Ciências Contábeis Faculdade Católica Rainha da Paz -FCARP e Profissional Técnico do Ensino Superior Supervisora de Aquisições/UNEMAT.</w:t>
      </w:r>
    </w:p>
    <w:p w14:paraId="3009BAD6"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E-mail: prof.elisangelapires@fcarpvirtual.com</w:t>
      </w:r>
    </w:p>
    <w:p w14:paraId="00515E1E" w14:textId="2562A963"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sz w:val="24"/>
          <w:szCs w:val="24"/>
        </w:rPr>
        <w:t>ORCID: 0000-0003-4259-5025</w:t>
      </w:r>
    </w:p>
    <w:p w14:paraId="4C94451E" w14:textId="77777777" w:rsidR="00703EF1" w:rsidRPr="00703EF1" w:rsidRDefault="00703EF1" w:rsidP="00703EF1">
      <w:pPr>
        <w:spacing w:after="0" w:line="240" w:lineRule="auto"/>
        <w:jc w:val="right"/>
        <w:rPr>
          <w:rFonts w:ascii="Times New Roman" w:hAnsi="Times New Roman" w:cs="Times New Roman"/>
          <w:b/>
          <w:bCs/>
          <w:sz w:val="24"/>
          <w:szCs w:val="24"/>
        </w:rPr>
      </w:pPr>
    </w:p>
    <w:p w14:paraId="6F2C6DC8"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b/>
          <w:bCs/>
          <w:sz w:val="24"/>
          <w:szCs w:val="24"/>
        </w:rPr>
        <w:t xml:space="preserve">Fernanda </w:t>
      </w:r>
      <w:proofErr w:type="spellStart"/>
      <w:r w:rsidRPr="00703EF1">
        <w:rPr>
          <w:rFonts w:ascii="Times New Roman" w:hAnsi="Times New Roman" w:cs="Times New Roman"/>
          <w:b/>
          <w:bCs/>
          <w:sz w:val="24"/>
          <w:szCs w:val="24"/>
        </w:rPr>
        <w:t>Mosseline</w:t>
      </w:r>
      <w:proofErr w:type="spellEnd"/>
      <w:r w:rsidRPr="00703EF1">
        <w:rPr>
          <w:rFonts w:ascii="Times New Roman" w:hAnsi="Times New Roman" w:cs="Times New Roman"/>
          <w:b/>
          <w:bCs/>
          <w:sz w:val="24"/>
          <w:szCs w:val="24"/>
        </w:rPr>
        <w:t xml:space="preserve"> </w:t>
      </w:r>
      <w:proofErr w:type="spellStart"/>
      <w:r w:rsidRPr="00703EF1">
        <w:rPr>
          <w:rFonts w:ascii="Times New Roman" w:hAnsi="Times New Roman" w:cs="Times New Roman"/>
          <w:b/>
          <w:bCs/>
          <w:sz w:val="24"/>
          <w:szCs w:val="24"/>
        </w:rPr>
        <w:t>Josende</w:t>
      </w:r>
      <w:proofErr w:type="spellEnd"/>
      <w:r w:rsidRPr="00703EF1">
        <w:rPr>
          <w:rFonts w:ascii="Times New Roman" w:hAnsi="Times New Roman" w:cs="Times New Roman"/>
          <w:b/>
          <w:bCs/>
          <w:sz w:val="24"/>
          <w:szCs w:val="24"/>
        </w:rPr>
        <w:t xml:space="preserve"> Coan</w:t>
      </w:r>
    </w:p>
    <w:p w14:paraId="167C90BD"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Doutora em Ciências Contábeis pela Universidade do Vale do Rio dos Sinos – UNISINOS</w:t>
      </w:r>
    </w:p>
    <w:p w14:paraId="43C95889"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Professora no curso de Ciências Contábeis na Universidade do Estado de Mato Grosso – UNEMAT, campus de Sinop.</w:t>
      </w:r>
    </w:p>
    <w:p w14:paraId="1E564A40"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E-mail: fernandacoan@unemat.br</w:t>
      </w:r>
    </w:p>
    <w:p w14:paraId="6F6B41DA"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ORCID: 0000-0003-3453-9103</w:t>
      </w:r>
    </w:p>
    <w:p w14:paraId="00CA48C7" w14:textId="77777777" w:rsidR="00703EF1" w:rsidRPr="00703EF1" w:rsidRDefault="00703EF1" w:rsidP="00703EF1">
      <w:pPr>
        <w:spacing w:after="0" w:line="240" w:lineRule="auto"/>
        <w:jc w:val="right"/>
        <w:rPr>
          <w:rFonts w:ascii="Times New Roman" w:hAnsi="Times New Roman" w:cs="Times New Roman"/>
          <w:b/>
          <w:bCs/>
          <w:sz w:val="24"/>
          <w:szCs w:val="24"/>
        </w:rPr>
      </w:pPr>
    </w:p>
    <w:p w14:paraId="6B56A214"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b/>
          <w:bCs/>
          <w:sz w:val="24"/>
          <w:szCs w:val="24"/>
        </w:rPr>
        <w:t xml:space="preserve">Ramão Humberto Martins </w:t>
      </w:r>
      <w:proofErr w:type="spellStart"/>
      <w:r w:rsidRPr="00703EF1">
        <w:rPr>
          <w:rFonts w:ascii="Times New Roman" w:hAnsi="Times New Roman" w:cs="Times New Roman"/>
          <w:b/>
          <w:bCs/>
          <w:sz w:val="24"/>
          <w:szCs w:val="24"/>
        </w:rPr>
        <w:t>Manvailer</w:t>
      </w:r>
      <w:proofErr w:type="spellEnd"/>
    </w:p>
    <w:p w14:paraId="7594C469"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Doutor em Ciências Contábeis pela Universidade do Vale do Rio dos Sinos – UNISINOS</w:t>
      </w:r>
    </w:p>
    <w:p w14:paraId="673FF225"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Professor no Curso de Engenharia de Produção Agroindustrial na Universidade do Estado de Mato Grosso – UNEMAT, campus de Barra do Bugres.</w:t>
      </w:r>
    </w:p>
    <w:p w14:paraId="1B3954FA"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E-mail: ramaohumberto@unemat.br</w:t>
      </w:r>
    </w:p>
    <w:p w14:paraId="017DC501"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ORCID: 0000.0001-9038-4295</w:t>
      </w:r>
    </w:p>
    <w:p w14:paraId="50FB6418" w14:textId="77777777" w:rsidR="00703EF1" w:rsidRPr="00703EF1" w:rsidRDefault="00703EF1" w:rsidP="00703EF1">
      <w:pPr>
        <w:spacing w:after="0" w:line="240" w:lineRule="auto"/>
        <w:jc w:val="right"/>
        <w:rPr>
          <w:rFonts w:ascii="Times New Roman" w:hAnsi="Times New Roman" w:cs="Times New Roman"/>
          <w:b/>
          <w:bCs/>
          <w:sz w:val="24"/>
          <w:szCs w:val="24"/>
        </w:rPr>
      </w:pPr>
    </w:p>
    <w:p w14:paraId="573BD76B" w14:textId="77777777" w:rsidR="00703EF1" w:rsidRPr="00703EF1" w:rsidRDefault="00703EF1" w:rsidP="00703EF1">
      <w:pPr>
        <w:spacing w:after="0" w:line="240" w:lineRule="auto"/>
        <w:jc w:val="right"/>
        <w:rPr>
          <w:rFonts w:ascii="Times New Roman" w:hAnsi="Times New Roman" w:cs="Times New Roman"/>
          <w:b/>
          <w:bCs/>
          <w:sz w:val="24"/>
          <w:szCs w:val="24"/>
        </w:rPr>
      </w:pPr>
      <w:r w:rsidRPr="00703EF1">
        <w:rPr>
          <w:rFonts w:ascii="Times New Roman" w:hAnsi="Times New Roman" w:cs="Times New Roman"/>
          <w:b/>
          <w:bCs/>
          <w:sz w:val="24"/>
          <w:szCs w:val="24"/>
        </w:rPr>
        <w:t>Vanusa Batista Pereira</w:t>
      </w:r>
    </w:p>
    <w:p w14:paraId="2DC3FBFD"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Doutora em Ciências Contábeis pela Universidade do Vale do Rio dos Sinos – UNISINOS</w:t>
      </w:r>
    </w:p>
    <w:p w14:paraId="52A6E3C3"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Professora no curso de Ciências Contábeis na Universidade do Estado de Mato Grosso – UNEMAT, campus de Cáceres.</w:t>
      </w:r>
    </w:p>
    <w:p w14:paraId="677C9B49" w14:textId="77777777" w:rsidR="00703EF1" w:rsidRP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E-mail: vanusa.batista.pereira@unemat.br</w:t>
      </w:r>
    </w:p>
    <w:p w14:paraId="7D6B925B" w14:textId="77777777" w:rsidR="00703EF1" w:rsidRDefault="00703EF1"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sz w:val="24"/>
          <w:szCs w:val="24"/>
        </w:rPr>
        <w:t>ORCID: 0000-0002-1396-1033</w:t>
      </w:r>
    </w:p>
    <w:p w14:paraId="12D32D84" w14:textId="644D1D58" w:rsidR="00BE6C76" w:rsidRPr="00703EF1" w:rsidRDefault="000D1454" w:rsidP="00703EF1">
      <w:pPr>
        <w:spacing w:after="0" w:line="240" w:lineRule="auto"/>
        <w:jc w:val="right"/>
        <w:rPr>
          <w:rFonts w:ascii="Times New Roman" w:hAnsi="Times New Roman" w:cs="Times New Roman"/>
          <w:sz w:val="24"/>
          <w:szCs w:val="24"/>
        </w:rPr>
      </w:pPr>
      <w:r w:rsidRPr="00703EF1">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59264"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30DE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p>
    <w:bookmarkEnd w:id="3"/>
    <w:p w14:paraId="6D8D8522" w14:textId="77777777" w:rsidR="00AF54CC" w:rsidRDefault="00AF54CC" w:rsidP="00AF54CC">
      <w:pPr>
        <w:spacing w:after="0" w:line="240" w:lineRule="auto"/>
        <w:rPr>
          <w:rFonts w:ascii="Times New Roman" w:hAnsi="Times New Roman" w:cs="Times New Roman"/>
          <w:b/>
          <w:bCs/>
          <w:sz w:val="24"/>
          <w:szCs w:val="24"/>
        </w:rPr>
      </w:pPr>
      <w:r w:rsidRPr="00AF54CC">
        <w:rPr>
          <w:rFonts w:ascii="Times New Roman" w:hAnsi="Times New Roman" w:cs="Times New Roman"/>
          <w:b/>
          <w:bCs/>
          <w:sz w:val="24"/>
          <w:szCs w:val="24"/>
        </w:rPr>
        <w:t xml:space="preserve">RESUMO </w:t>
      </w:r>
    </w:p>
    <w:p w14:paraId="7A02CA3F" w14:textId="40BD38E6" w:rsidR="003469E0" w:rsidRPr="00145A98" w:rsidRDefault="00703EF1" w:rsidP="003469E0">
      <w:pPr>
        <w:pStyle w:val="SemEspaamento"/>
        <w:jc w:val="both"/>
      </w:pPr>
      <w:r w:rsidRPr="00703EF1">
        <w:t>O objetivo do presente estudo foi verificar se o tipo da infração cometida explica a severidade da punição aplicada aos contabilistas. A Declaração Comprobatória de Percepção de Rendimento (Decore), serviu de referência para verificar a relação positiva entre o tipo de infração e as multas aplicadas. Para tanto, foram analisados 390 processos transitados em julgados no período de 2014 a 2018, contra profissionais contabilistas com registros ativos no Conselho Regional de Contabilidade do Estado de Mato Grosso (CRCMT).  Utilizou-se da regressão logística enquanto abordagem econométrica e, o poder enquanto estratégia na perspectiva de Foucault para análise dos dados. Os resultados mostraram que, há relação positiva entre o tipo de infração e as multas aplicadas a esses profissionais. As multas (punição disciplinar) e advertências (punição ética) são as punições ético-disciplinares mais impostas. Os resultados evidenciaram a ação corporativista do sistema CFC/</w:t>
      </w:r>
      <w:proofErr w:type="spellStart"/>
      <w:r w:rsidRPr="00703EF1">
        <w:t>CRCs</w:t>
      </w:r>
      <w:proofErr w:type="spellEnd"/>
      <w:r w:rsidRPr="00703EF1">
        <w:t>, uma vez que essas punições tendem a proteger a reputação tanto da classe quanto do profissional.</w:t>
      </w:r>
    </w:p>
    <w:p w14:paraId="4AFC4CE8" w14:textId="77777777" w:rsidR="00AF54CC" w:rsidRPr="00AF54CC" w:rsidRDefault="00AF54CC" w:rsidP="00AF54CC">
      <w:pPr>
        <w:spacing w:after="0" w:line="240" w:lineRule="auto"/>
        <w:rPr>
          <w:rFonts w:ascii="Times New Roman" w:hAnsi="Times New Roman" w:cs="Times New Roman"/>
          <w:b/>
          <w:bCs/>
          <w:sz w:val="24"/>
          <w:szCs w:val="24"/>
        </w:rPr>
      </w:pPr>
    </w:p>
    <w:p w14:paraId="6AB9D2EB" w14:textId="3D971881" w:rsidR="00AF54CC" w:rsidRPr="00AF54CC" w:rsidRDefault="00AF54CC" w:rsidP="003469E0">
      <w:pPr>
        <w:pStyle w:val="SemEspaamento"/>
        <w:jc w:val="both"/>
      </w:pPr>
      <w:r w:rsidRPr="00AF54CC">
        <w:rPr>
          <w:b/>
          <w:bCs/>
        </w:rPr>
        <w:t>Palavras-chave:</w:t>
      </w:r>
      <w:r w:rsidRPr="00AF54CC">
        <w:t xml:space="preserve"> </w:t>
      </w:r>
      <w:r w:rsidR="00703EF1" w:rsidRPr="00703EF1">
        <w:t>Punição. Ética. Multa. Contabilidade.</w:t>
      </w:r>
    </w:p>
    <w:p w14:paraId="75DD6ADE" w14:textId="77777777" w:rsidR="00AF54CC" w:rsidRPr="00AF54CC" w:rsidRDefault="00AF54CC" w:rsidP="00AF54CC">
      <w:pPr>
        <w:spacing w:after="0" w:line="240" w:lineRule="auto"/>
        <w:jc w:val="both"/>
        <w:rPr>
          <w:rFonts w:ascii="Times New Roman" w:hAnsi="Times New Roman" w:cs="Times New Roman"/>
          <w:sz w:val="24"/>
          <w:szCs w:val="24"/>
        </w:rPr>
      </w:pPr>
    </w:p>
    <w:bookmarkEnd w:id="1"/>
    <w:bookmarkEnd w:id="2"/>
    <w:p w14:paraId="585B240E" w14:textId="6F48B0F5" w:rsidR="002A283E" w:rsidRDefault="00EF4FFC" w:rsidP="00AF54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52B99B24" w14:textId="77777777" w:rsidR="002A283E" w:rsidRDefault="002A283E">
      <w:pPr>
        <w:rPr>
          <w:rFonts w:ascii="Times New Roman" w:hAnsi="Times New Roman" w:cs="Times New Roman"/>
          <w:b/>
          <w:bCs/>
          <w:sz w:val="24"/>
          <w:szCs w:val="24"/>
        </w:rPr>
      </w:pPr>
      <w:r>
        <w:rPr>
          <w:rFonts w:ascii="Times New Roman" w:hAnsi="Times New Roman" w:cs="Times New Roman"/>
          <w:b/>
          <w:bCs/>
          <w:sz w:val="24"/>
          <w:szCs w:val="24"/>
        </w:rPr>
        <w:br w:type="page"/>
      </w:r>
    </w:p>
    <w:p w14:paraId="505A7E38" w14:textId="77777777" w:rsidR="00703EF1" w:rsidRPr="00703EF1" w:rsidRDefault="00703EF1" w:rsidP="00703EF1">
      <w:pPr>
        <w:spacing w:after="0" w:line="360" w:lineRule="auto"/>
        <w:jc w:val="both"/>
        <w:rPr>
          <w:rFonts w:ascii="Times New Roman" w:hAnsi="Times New Roman" w:cs="Times New Roman"/>
          <w:b/>
          <w:bCs/>
          <w:sz w:val="24"/>
          <w:szCs w:val="24"/>
        </w:rPr>
      </w:pPr>
      <w:r w:rsidRPr="00703EF1">
        <w:rPr>
          <w:rFonts w:ascii="Times New Roman" w:hAnsi="Times New Roman" w:cs="Times New Roman"/>
          <w:b/>
          <w:bCs/>
          <w:sz w:val="24"/>
          <w:szCs w:val="24"/>
        </w:rPr>
        <w:lastRenderedPageBreak/>
        <w:t xml:space="preserve">1 INTRODUÇÃO </w:t>
      </w:r>
    </w:p>
    <w:p w14:paraId="3AA90B60"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A multa é um dos tipos de sanções disciplinares aplicadas aos contabilistas em decorrência de infrações cometidas no exercício das práticas contábeis. O resultado da inobservância das regras e normativas disciplinar e moralmente preestabelecidas, poderá resultar em exclusão, passando por diversas modalidades de confinamento até um sistema de multas ou restrições menores. Assim, a multa enquanto instrumento de punição disciplinar, tem sido utilizada pelos sistemas que regulam e fiscalizam as profissões.  Percebe-se o uso desse instrumento por meio dos conselhos de classe de várias áreas, entre as quais, a contabilidade e as ciências jurídicas (Hansen &amp; White, 2012; Krom, 2016; </w:t>
      </w:r>
      <w:proofErr w:type="spellStart"/>
      <w:r w:rsidRPr="00703EF1">
        <w:rPr>
          <w:rFonts w:ascii="Times New Roman" w:hAnsi="Times New Roman" w:cs="Times New Roman"/>
          <w:sz w:val="24"/>
          <w:szCs w:val="24"/>
        </w:rPr>
        <w:t>Mescall</w:t>
      </w:r>
      <w:proofErr w:type="spellEnd"/>
      <w:r w:rsidRPr="00703EF1">
        <w:rPr>
          <w:rFonts w:ascii="Times New Roman" w:hAnsi="Times New Roman" w:cs="Times New Roman"/>
          <w:sz w:val="24"/>
          <w:szCs w:val="24"/>
        </w:rPr>
        <w:t xml:space="preserve"> et al., 2017; Pereira, 2022).</w:t>
      </w:r>
    </w:p>
    <w:p w14:paraId="02264456"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De acordo com Oliveira (2024), entre os 24.808 processos administrativos abertos no Sistema CFC/</w:t>
      </w:r>
      <w:proofErr w:type="spellStart"/>
      <w:r w:rsidRPr="00703EF1">
        <w:rPr>
          <w:rFonts w:ascii="Times New Roman" w:hAnsi="Times New Roman" w:cs="Times New Roman"/>
          <w:sz w:val="24"/>
          <w:szCs w:val="24"/>
        </w:rPr>
        <w:t>CRCs</w:t>
      </w:r>
      <w:proofErr w:type="spellEnd"/>
      <w:r w:rsidRPr="00703EF1">
        <w:rPr>
          <w:rFonts w:ascii="Times New Roman" w:hAnsi="Times New Roman" w:cs="Times New Roman"/>
          <w:sz w:val="24"/>
          <w:szCs w:val="24"/>
        </w:rPr>
        <w:t xml:space="preserve"> entre 2018 e 2022, as sanções mais recorrentes foram advertência e censura, correspondendo a mais de 60% dos casos analisados. Para Gonçalves (2024), a multa tem sido a penalidade mais aplicada pelo Conselho Regional de Medicina de Minas Gerais nos casos que envolvem descumprimentos ético-profissionais sem repercussão grave à saúde pública. Segundo o estudo de Oliveira (2024) a multa foi classificada em média-alta entre as punições disciplinares. </w:t>
      </w:r>
    </w:p>
    <w:p w14:paraId="11183E48"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O Decreto-Lei nº 9.295/46, alterado pela Lei nº 12.249/10, determina que em virtude das infrações disciplinares a multa deve ser aplicada como punição pecuniária. Nesse sentido, conforme as regras, na infração das normativas preestabelecidas deve-se impor, nos casos em que se aplique, a multa como reparação da ação cometida. </w:t>
      </w:r>
    </w:p>
    <w:p w14:paraId="6A1A1BFC"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De acordo com Conselho Federal de Contabilidade (CFC, 2020) a emissão </w:t>
      </w:r>
      <w:proofErr w:type="gramStart"/>
      <w:r w:rsidRPr="00703EF1">
        <w:rPr>
          <w:rFonts w:ascii="Times New Roman" w:hAnsi="Times New Roman" w:cs="Times New Roman"/>
          <w:sz w:val="24"/>
          <w:szCs w:val="24"/>
        </w:rPr>
        <w:t>de Decore</w:t>
      </w:r>
      <w:proofErr w:type="gramEnd"/>
      <w:r w:rsidRPr="00703EF1">
        <w:rPr>
          <w:rFonts w:ascii="Times New Roman" w:hAnsi="Times New Roman" w:cs="Times New Roman"/>
          <w:sz w:val="24"/>
          <w:szCs w:val="24"/>
        </w:rPr>
        <w:t xml:space="preserve"> sem base documental idônea configura infração ética e disciplinar grave, sujeita a censura, suspensão e até cassação do registro profissional do contador. O Código Penal Brasileiro (CPB) nos artigos 297 e 299, para esse tipo infração, ou seja, atestar declaração falsa, prevê como punição até mesmo a reclusão do infrator (BRASIL, 2021). O DL 9.295/46, estabelece que, profissionais contabilistas que forem responsáveis por qualquer falsidade de documentos que assinarem, pelas irregularidades de escrituração praticadas no sentido de fraudar as rendas públicas, ficam sujeitos a penalidade disciplinar de suspensão do exercício da profissão, pelo período de até 2 (dois) anos.</w:t>
      </w:r>
    </w:p>
    <w:p w14:paraId="06B07C80"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 Assim, conforme o que estabelece a legislação e normas estabelecidas, a elaboração </w:t>
      </w:r>
      <w:proofErr w:type="gramStart"/>
      <w:r w:rsidRPr="00703EF1">
        <w:rPr>
          <w:rFonts w:ascii="Times New Roman" w:hAnsi="Times New Roman" w:cs="Times New Roman"/>
          <w:sz w:val="24"/>
          <w:szCs w:val="24"/>
        </w:rPr>
        <w:t>de Decore</w:t>
      </w:r>
      <w:proofErr w:type="gramEnd"/>
      <w:r w:rsidRPr="00703EF1">
        <w:rPr>
          <w:rFonts w:ascii="Times New Roman" w:hAnsi="Times New Roman" w:cs="Times New Roman"/>
          <w:sz w:val="24"/>
          <w:szCs w:val="24"/>
        </w:rPr>
        <w:t xml:space="preserve"> irregular configura-se infração de natureza grave, visto que as punições disciplinares previstas são as mais severas. Mas, observa-se a partir dos estudos revisados, entre os quais, Stohr et al. (2016) e </w:t>
      </w:r>
      <w:proofErr w:type="spellStart"/>
      <w:r w:rsidRPr="00703EF1">
        <w:rPr>
          <w:rFonts w:ascii="Times New Roman" w:hAnsi="Times New Roman" w:cs="Times New Roman"/>
          <w:sz w:val="24"/>
          <w:szCs w:val="24"/>
        </w:rPr>
        <w:t>Krummenauer</w:t>
      </w:r>
      <w:proofErr w:type="spellEnd"/>
      <w:r w:rsidRPr="00703EF1">
        <w:rPr>
          <w:rFonts w:ascii="Times New Roman" w:hAnsi="Times New Roman" w:cs="Times New Roman"/>
          <w:sz w:val="24"/>
          <w:szCs w:val="24"/>
        </w:rPr>
        <w:t xml:space="preserve"> e Locatelli, (2020), uma tendência para punir os profissionais com penalidades menos severas, ou seja, com multa e advertência reservada. Outros estudos, a saber, Alves (2005) no Brasil; </w:t>
      </w:r>
      <w:r w:rsidRPr="00703EF1">
        <w:rPr>
          <w:rFonts w:ascii="Times New Roman" w:hAnsi="Times New Roman" w:cs="Times New Roman"/>
          <w:sz w:val="24"/>
          <w:szCs w:val="24"/>
        </w:rPr>
        <w:lastRenderedPageBreak/>
        <w:t xml:space="preserve">Ferreira (2013) em Portugal; Krom (2016) nos Estados Unidos e </w:t>
      </w:r>
      <w:proofErr w:type="spellStart"/>
      <w:r w:rsidRPr="00703EF1">
        <w:rPr>
          <w:rFonts w:ascii="Times New Roman" w:hAnsi="Times New Roman" w:cs="Times New Roman"/>
          <w:sz w:val="24"/>
          <w:szCs w:val="24"/>
        </w:rPr>
        <w:t>Bélanger</w:t>
      </w:r>
      <w:proofErr w:type="spellEnd"/>
      <w:r w:rsidRPr="00703EF1">
        <w:rPr>
          <w:rFonts w:ascii="Times New Roman" w:hAnsi="Times New Roman" w:cs="Times New Roman"/>
          <w:sz w:val="24"/>
          <w:szCs w:val="24"/>
        </w:rPr>
        <w:t xml:space="preserve"> et al. (2016) no Canadá, corroboram com esse argumento. </w:t>
      </w:r>
    </w:p>
    <w:p w14:paraId="3BA4E7D5"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A punição pode ser um fator importante no processo disciplinar dos indivíduos. Nesse sentido, quando os profissionais são punidos por infrações cometidas, podem apresentam maior probabilidade para elaborar relatórios financeiros de melhor qualidade (</w:t>
      </w:r>
      <w:proofErr w:type="spellStart"/>
      <w:r w:rsidRPr="00703EF1">
        <w:rPr>
          <w:rFonts w:ascii="Times New Roman" w:hAnsi="Times New Roman" w:cs="Times New Roman"/>
          <w:sz w:val="24"/>
          <w:szCs w:val="24"/>
        </w:rPr>
        <w:t>Cahan</w:t>
      </w:r>
      <w:proofErr w:type="spellEnd"/>
      <w:r w:rsidRPr="00703EF1">
        <w:rPr>
          <w:rFonts w:ascii="Times New Roman" w:hAnsi="Times New Roman" w:cs="Times New Roman"/>
          <w:sz w:val="24"/>
          <w:szCs w:val="24"/>
        </w:rPr>
        <w:t xml:space="preserve"> et al., 2016). As punições na perspectiva retributiva são deontológicas, ou seja, a punição é justificada por que o infrator a merece em virtude do tipo de infração cometida.</w:t>
      </w:r>
    </w:p>
    <w:p w14:paraId="405EAC19"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Diante disto, o objetivo desse estudo foi verificar se o tipo da infração cometida explica a severidade da punição aplicada aos contabilistas. O estudo tem por pressuposto o poder que pode ser utilizado como estratégia pelos contabilistas na rede de relações entre seus pares. Na perspectiva de Foucault (1987, p.30), essas estratégias “passam por eles e através deles; apoiam-se neles, do mesmo modo que eles, em sua luta contra esse poder ou para possui-lo, apoiam-se, por sua vez, nos pontos em que ele os alcança”. Assim, ao utilizar-se das várias estratégias, entre as quais, tamanho das organizações e política, os profissionais poderão mitigar a severidade das punições.</w:t>
      </w:r>
    </w:p>
    <w:p w14:paraId="0AFD0D22"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O estudo tem sua relevância, quando propõe discutir se os tipos de infrações cometidas pelos contabilistas podem explicar a severidade da punição aplicada. Dessa forma, poderá contribuir com a literatura contábil, na medida em que possibilita maior entendimento relacionado as infrações e punições aplicadas decorrentes do comportamento ético-disciplinar inadequado dos contabilistas. Este estudo está estruturado em cinco seções – introdução, fundamentação teórica, metodologia, análise dos dados e considerações finais – e tem como aporte teórico a análise do poder na perspectiva de Michel Foucault.</w:t>
      </w:r>
    </w:p>
    <w:p w14:paraId="7B4AF1FA" w14:textId="77777777" w:rsidR="00703EF1" w:rsidRDefault="00703EF1" w:rsidP="00703EF1">
      <w:pPr>
        <w:spacing w:after="0" w:line="360" w:lineRule="auto"/>
        <w:jc w:val="both"/>
        <w:rPr>
          <w:rFonts w:ascii="Times New Roman" w:hAnsi="Times New Roman" w:cs="Times New Roman"/>
          <w:sz w:val="24"/>
          <w:szCs w:val="24"/>
        </w:rPr>
      </w:pPr>
    </w:p>
    <w:p w14:paraId="28ED80DC" w14:textId="4F6BF2B5" w:rsidR="00703EF1" w:rsidRPr="00703EF1" w:rsidRDefault="00703EF1" w:rsidP="00703EF1">
      <w:pPr>
        <w:spacing w:after="0" w:line="360" w:lineRule="auto"/>
        <w:jc w:val="both"/>
        <w:rPr>
          <w:rFonts w:ascii="Times New Roman" w:hAnsi="Times New Roman" w:cs="Times New Roman"/>
          <w:b/>
          <w:bCs/>
          <w:sz w:val="24"/>
          <w:szCs w:val="24"/>
        </w:rPr>
      </w:pPr>
      <w:r w:rsidRPr="00703EF1">
        <w:rPr>
          <w:rFonts w:ascii="Times New Roman" w:hAnsi="Times New Roman" w:cs="Times New Roman"/>
          <w:b/>
          <w:bCs/>
          <w:sz w:val="24"/>
          <w:szCs w:val="24"/>
        </w:rPr>
        <w:t xml:space="preserve">2 FUNDAMENTAÇÃO TEÓRICA </w:t>
      </w:r>
    </w:p>
    <w:p w14:paraId="3A75318B" w14:textId="68DFE25F" w:rsidR="00703EF1" w:rsidRPr="00703EF1" w:rsidRDefault="00703EF1" w:rsidP="00703EF1">
      <w:pPr>
        <w:spacing w:after="0" w:line="360" w:lineRule="auto"/>
        <w:jc w:val="both"/>
        <w:rPr>
          <w:rFonts w:ascii="Times New Roman" w:hAnsi="Times New Roman" w:cs="Times New Roman"/>
          <w:sz w:val="24"/>
          <w:szCs w:val="24"/>
        </w:rPr>
      </w:pPr>
      <w:r w:rsidRPr="00703EF1">
        <w:rPr>
          <w:rFonts w:ascii="Times New Roman" w:hAnsi="Times New Roman" w:cs="Times New Roman"/>
          <w:sz w:val="24"/>
          <w:szCs w:val="24"/>
        </w:rPr>
        <w:t>2.1 PODER E PUNIÇÃO</w:t>
      </w:r>
    </w:p>
    <w:p w14:paraId="3CFA6F1F"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Na concepção de Foucault (1979), o poder é uma prática social, e, como tal, constitui-se nas relações históricas. Essas relações concebem-se dentro de um jogo no qual as regras são daqueles que delas se apoderam, utilizam-nas em seu favor e contra aqueles que as tinham impostas. Nesse sentido, quem as detém também possui o poder (Foucault, 1979). Assim, onde há poder, inevitavelmente, ele irá ser exercido por meio de estratégias por vezes complexas no âmbito de uma determinada sociedade (Foucault, 1976], 2012). Portanto, o poder, segundo Foucault (1979), manifesta-se a partir das relações e é exercido em diferentes níveis da rede social. </w:t>
      </w:r>
    </w:p>
    <w:p w14:paraId="6E85D8FE"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Nesse contexto, as estratégias estarão sempre presentes como elementos essenciais no campo das batalhas. Portanto, as relações de poder constituir-se-ão de formas imbricadas, com outras práticas </w:t>
      </w:r>
      <w:r w:rsidRPr="00703EF1">
        <w:rPr>
          <w:rFonts w:ascii="Times New Roman" w:hAnsi="Times New Roman" w:cs="Times New Roman"/>
          <w:sz w:val="24"/>
          <w:szCs w:val="24"/>
        </w:rPr>
        <w:lastRenderedPageBreak/>
        <w:t xml:space="preserve">consideradas essenciais no campo dos interesses corporativistas (Foucault, 1995). Esses interesses podem serem adotados considerando uma perspectiva de poder no campo das relações públicas ou privadas (Parker, 1994). Assim, as estratégias vão sendo desenvolvidas, conforme as necessidades dos indivíduos em mitigar ou até mesmo anular as possíveis punições que poderá ou serão lhes impostas. </w:t>
      </w:r>
    </w:p>
    <w:p w14:paraId="1FE27539"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Quando nesse contexto os processos de socialização falham, parece necessário que outros mecanismos dentro dessa rede social sejam adotados no sentido de corrigir os desvios de conduta dos indivíduos. (Walker, 2016). Diante disto, regular o comportamento dos profissionais no sentido de ajustá-lo ao que determina a ordem social pode ser objetivo primordial dos conselhos que regulam suas práticas. Assim, vigiá-los e corrigi-los, adequando-os aos propósitos estabelecidos, poderá incluir, entre outros mecanismos, a punição. (Foucault, 1987; Walker, 2016).</w:t>
      </w:r>
    </w:p>
    <w:p w14:paraId="4DB7C361"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A punição é um dispositivo convencional para expressar atitudes de ressentimento e indignação, de julgamentos de desaprovação e reprovação, seja por parte da própria autoridade punidora ou daqueles em nome de quem a punição é atribuída. Ela pode ser a expressão de algum tipo de condenação da sociedade em relação à ação criminosa (</w:t>
      </w:r>
      <w:proofErr w:type="spellStart"/>
      <w:r w:rsidRPr="00703EF1">
        <w:rPr>
          <w:rFonts w:ascii="Times New Roman" w:hAnsi="Times New Roman" w:cs="Times New Roman"/>
          <w:sz w:val="24"/>
          <w:szCs w:val="24"/>
        </w:rPr>
        <w:t>Feinberg</w:t>
      </w:r>
      <w:proofErr w:type="spellEnd"/>
      <w:r w:rsidRPr="00703EF1">
        <w:rPr>
          <w:rFonts w:ascii="Times New Roman" w:hAnsi="Times New Roman" w:cs="Times New Roman"/>
          <w:sz w:val="24"/>
          <w:szCs w:val="24"/>
        </w:rPr>
        <w:t xml:space="preserve">, 1965). Entre as punições aplicadas aos contabilistas a multa é configurada como uma punição pecuniária (Brasil, 1946). Essa punição, segundo Foucault (1987), não pode ser identificada como somente a reparação do dano, mas também como o desagravo pelas consequências causadas ao punidor. </w:t>
      </w:r>
    </w:p>
    <w:p w14:paraId="1DCF3882"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No que tange a aplicação de penalidades ética, a NBC PG 01/19, ressalta que a punição deve ser aplicada considerando a gravidade da infração. O DL 9.295/46 ressalta a importância que se deve observar para a natureza da gravidade da infração na aplicação das punições disciplinares. A testar falsa informação, tem-se como infração grave, se considerar o exposto na legislação vigente (DL 9.295/46; CPB; 2017) e normas estabelecidas pelos conselhos de classe (NBC PG 01/19; Res. CFC 1.603/20). Diante disto, a Decore irregular apresenta-se como infração de natureza grave, tendo em vista que o profissional atesta um conjunto de informações que não representa a veracidade dos fatos.  </w:t>
      </w:r>
    </w:p>
    <w:p w14:paraId="3E38A06C" w14:textId="77777777" w:rsidR="00703EF1" w:rsidRDefault="00703EF1" w:rsidP="00703EF1">
      <w:pPr>
        <w:spacing w:after="0" w:line="360" w:lineRule="auto"/>
        <w:jc w:val="both"/>
        <w:rPr>
          <w:rFonts w:ascii="Times New Roman" w:hAnsi="Times New Roman" w:cs="Times New Roman"/>
          <w:sz w:val="24"/>
          <w:szCs w:val="24"/>
        </w:rPr>
      </w:pPr>
    </w:p>
    <w:p w14:paraId="31B785A8" w14:textId="49DB6E5A" w:rsidR="00703EF1" w:rsidRPr="00703EF1" w:rsidRDefault="00703EF1" w:rsidP="00703EF1">
      <w:pPr>
        <w:spacing w:after="0" w:line="360" w:lineRule="auto"/>
        <w:jc w:val="both"/>
        <w:rPr>
          <w:rFonts w:ascii="Times New Roman" w:hAnsi="Times New Roman" w:cs="Times New Roman"/>
          <w:sz w:val="24"/>
          <w:szCs w:val="24"/>
        </w:rPr>
      </w:pPr>
      <w:r w:rsidRPr="00703EF1">
        <w:rPr>
          <w:rFonts w:ascii="Times New Roman" w:hAnsi="Times New Roman" w:cs="Times New Roman"/>
          <w:sz w:val="24"/>
          <w:szCs w:val="24"/>
        </w:rPr>
        <w:t>2.2 DECORE E ELABORAÇÃO DA HIPÓTESE DO ESTUDO</w:t>
      </w:r>
    </w:p>
    <w:p w14:paraId="688F3ADF"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De acordo com Resolução CFC nº 1.592/20 no artigo 1º, a Decore eletrônica é o documento contábil destinado a fazer prova de informações sobre percepção de rendimentos em favor de pessoas físicas. Esse documento deve ser emitido pelo contabilista que para sua emissão deverá efetuar o upload, conforme disposto na própria resolução.  A Decore terá o prazo de validade de 90 (noventa) dias contados da data de sua emissão e deverá evidenciar o rendimento auferido pelo beneficiário e ter relação com o período a que se refere.</w:t>
      </w:r>
    </w:p>
    <w:p w14:paraId="59D269BB"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lastRenderedPageBreak/>
        <w:t xml:space="preserve">A emissão da Decore estar condicionada à prévia realização do upload, efetuado de forma eletrônica de toda documentação legal que lhe serviu de base, sendo necessário observar a natureza e a atividade, e que possua relação com a renda a ser comprovada. Alguns estudos anteriores a Resolução CFC nº 1.592/20 evidenciaram a prática da elaboração da Decore sem a observação das exigências estabelecidas pala Resolução CFC nº 1.403/2012 vigente no período analisado (André &amp; Di Domenico, 2015; Stohr et al., 2016; Berni &amp; Bolognesi, 2018; </w:t>
      </w:r>
      <w:proofErr w:type="spellStart"/>
      <w:r w:rsidRPr="00703EF1">
        <w:rPr>
          <w:rFonts w:ascii="Times New Roman" w:hAnsi="Times New Roman" w:cs="Times New Roman"/>
          <w:sz w:val="24"/>
          <w:szCs w:val="24"/>
        </w:rPr>
        <w:t>Krummenauer</w:t>
      </w:r>
      <w:proofErr w:type="spellEnd"/>
      <w:r w:rsidRPr="00703EF1">
        <w:rPr>
          <w:rFonts w:ascii="Times New Roman" w:hAnsi="Times New Roman" w:cs="Times New Roman"/>
          <w:sz w:val="24"/>
          <w:szCs w:val="24"/>
        </w:rPr>
        <w:t xml:space="preserve"> &amp; Locatelli, 2020). </w:t>
      </w:r>
    </w:p>
    <w:p w14:paraId="782F1A46"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Por outro lado, ainda que o DL 9.295/46 sugira punições mais severas para esse tipo de infração, a </w:t>
      </w:r>
      <w:proofErr w:type="gramStart"/>
      <w:r w:rsidRPr="00703EF1">
        <w:rPr>
          <w:rFonts w:ascii="Times New Roman" w:hAnsi="Times New Roman" w:cs="Times New Roman"/>
          <w:sz w:val="24"/>
          <w:szCs w:val="24"/>
        </w:rPr>
        <w:t>pratica</w:t>
      </w:r>
      <w:proofErr w:type="gramEnd"/>
      <w:r w:rsidRPr="00703EF1">
        <w:rPr>
          <w:rFonts w:ascii="Times New Roman" w:hAnsi="Times New Roman" w:cs="Times New Roman"/>
          <w:sz w:val="24"/>
          <w:szCs w:val="24"/>
        </w:rPr>
        <w:t xml:space="preserve"> parece não ser adotada pelos órgãos de regulação e fiscalização. No caso das punições disciplinares, a suspenção e cassação do exercício profissional estão entre as mais severas punições, no entanto, conforme os estudos já mencionados, menos aplicadas.  </w:t>
      </w:r>
    </w:p>
    <w:p w14:paraId="420FEC7C"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Contudo, os estudos mostram a punição ética advertência reservada e a disciplinar multa como as mais imposta aos profissionais contabilistas em virtude do descumprimento das normativas preestabelecidas. Logo, tem-se como hipótese que: </w:t>
      </w:r>
    </w:p>
    <w:p w14:paraId="77F03107"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H1. Contabilistas autuados por </w:t>
      </w:r>
      <w:proofErr w:type="gramStart"/>
      <w:r w:rsidRPr="00703EF1">
        <w:rPr>
          <w:rFonts w:ascii="Times New Roman" w:hAnsi="Times New Roman" w:cs="Times New Roman"/>
          <w:sz w:val="24"/>
          <w:szCs w:val="24"/>
        </w:rPr>
        <w:t>elaborar Decore</w:t>
      </w:r>
      <w:proofErr w:type="gramEnd"/>
      <w:r w:rsidRPr="00703EF1">
        <w:rPr>
          <w:rFonts w:ascii="Times New Roman" w:hAnsi="Times New Roman" w:cs="Times New Roman"/>
          <w:sz w:val="24"/>
          <w:szCs w:val="24"/>
        </w:rPr>
        <w:t xml:space="preserve"> irregular têm maior probabilidade de serem punidos com multas.</w:t>
      </w:r>
    </w:p>
    <w:p w14:paraId="5495CD88"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Diante disto, espera-se que o resultado da regressão apresente coeficiente positivo, visto que, os estudos mostram uma tendência dos Conselhos de Classe dos contabilistas em punir seus pares por infrações disciplinares com multas. </w:t>
      </w:r>
    </w:p>
    <w:p w14:paraId="6F2650B6" w14:textId="77777777" w:rsidR="00703EF1" w:rsidRDefault="00703EF1" w:rsidP="00703EF1">
      <w:pPr>
        <w:spacing w:after="0" w:line="360" w:lineRule="auto"/>
        <w:jc w:val="both"/>
        <w:rPr>
          <w:rFonts w:ascii="Times New Roman" w:hAnsi="Times New Roman" w:cs="Times New Roman"/>
          <w:sz w:val="24"/>
          <w:szCs w:val="24"/>
        </w:rPr>
      </w:pPr>
    </w:p>
    <w:p w14:paraId="11FABB24" w14:textId="022561D1" w:rsidR="00703EF1" w:rsidRPr="00703EF1" w:rsidRDefault="00703EF1" w:rsidP="00703EF1">
      <w:pPr>
        <w:spacing w:after="0" w:line="360" w:lineRule="auto"/>
        <w:jc w:val="both"/>
        <w:rPr>
          <w:rFonts w:ascii="Times New Roman" w:hAnsi="Times New Roman" w:cs="Times New Roman"/>
          <w:b/>
          <w:bCs/>
          <w:sz w:val="24"/>
          <w:szCs w:val="24"/>
        </w:rPr>
      </w:pPr>
      <w:r w:rsidRPr="00703EF1">
        <w:rPr>
          <w:rFonts w:ascii="Times New Roman" w:hAnsi="Times New Roman" w:cs="Times New Roman"/>
          <w:b/>
          <w:bCs/>
          <w:sz w:val="24"/>
          <w:szCs w:val="24"/>
        </w:rPr>
        <w:t>3 METODOLOGIA</w:t>
      </w:r>
    </w:p>
    <w:p w14:paraId="5AEA1AA9"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A coleta dos dados deu-se a partir da análise de 390 processos transitados em julgados contra contabilistas com registro ativo no Conselho Regional de Contabilidade do Estado de Mato Grosso (CRCMT). Para tanto, foram considerados os processos abertos e finalizados entre o período de 2014 a 2018. Cabe ressaltar, que o recorte temporal está entre o período citado, tendo em vista a disponibilidades dos processos transitados em julgados para análises. Nesse período, foram transitados em julgados 1.422 processos. De acordo com a Resolução CFC 1.603/20, no art. 68, considera-se transitada em julgado a decisão terminativa irrecorrível. Logo, só foram analisados os processos que já haviam recebido a decisão terminativa e irrecorrível. </w:t>
      </w:r>
    </w:p>
    <w:p w14:paraId="620DA347"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Para verificar a probabilidade de que haja relação positiva entre o tipo de infração e a multa aplicada, utilizou-se da regressão logística binária, uma vez que, a variável dependente é dicotômica. Logo, considerou-se 1 se o evento de interesse está presente, ou seja, o profissional é punido com multa e 0 caso contrário, no caso, suspensão ou cassação do registro profissional, conforme o DL 9.295/46. </w:t>
      </w:r>
      <w:r w:rsidRPr="00703EF1">
        <w:rPr>
          <w:rFonts w:ascii="Times New Roman" w:hAnsi="Times New Roman" w:cs="Times New Roman"/>
          <w:sz w:val="24"/>
          <w:szCs w:val="24"/>
        </w:rPr>
        <w:lastRenderedPageBreak/>
        <w:t>Dessa forma, elaborou-se um modelo econométrico com cinco (5) variáveis, sendo, uma dependente, outra explicativa e as demais de controle.</w:t>
      </w:r>
    </w:p>
    <w:p w14:paraId="403DCB7C"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Modelo estar estruturado da seguinte maneira:</w:t>
      </w:r>
    </w:p>
    <w:p w14:paraId="1DB43515"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Multai = β0 + β1TIi + β2NECONTi + β3LGCONTi + β4PISi + ε                   </w:t>
      </w:r>
      <w:proofErr w:type="gramStart"/>
      <w:r w:rsidRPr="00703EF1">
        <w:rPr>
          <w:rFonts w:ascii="Times New Roman" w:hAnsi="Times New Roman" w:cs="Times New Roman"/>
          <w:sz w:val="24"/>
          <w:szCs w:val="24"/>
        </w:rPr>
        <w:t xml:space="preserve">   (</w:t>
      </w:r>
      <w:proofErr w:type="gramEnd"/>
      <w:r w:rsidRPr="00703EF1">
        <w:rPr>
          <w:rFonts w:ascii="Times New Roman" w:hAnsi="Times New Roman" w:cs="Times New Roman"/>
          <w:sz w:val="24"/>
          <w:szCs w:val="24"/>
        </w:rPr>
        <w:t>1)</w:t>
      </w:r>
    </w:p>
    <w:p w14:paraId="256522B9" w14:textId="77777777" w:rsid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Sendo, β0, a constante, β1 a β4 os parâmetros da equação que serão estimados por meio da regressão logística e i os processos analisados. As variáveis utilizadas no modelo são descritas no Quadro 1, a seguir.</w:t>
      </w:r>
    </w:p>
    <w:p w14:paraId="5073FF99" w14:textId="77777777" w:rsidR="00703EF1" w:rsidRPr="00703EF1" w:rsidRDefault="00703EF1" w:rsidP="00703EF1">
      <w:pPr>
        <w:spacing w:after="0" w:line="240" w:lineRule="auto"/>
        <w:ind w:firstLine="709"/>
        <w:jc w:val="both"/>
        <w:rPr>
          <w:rFonts w:ascii="Times New Roman" w:hAnsi="Times New Roman" w:cs="Times New Roman"/>
          <w:sz w:val="24"/>
          <w:szCs w:val="24"/>
        </w:rPr>
      </w:pPr>
    </w:p>
    <w:p w14:paraId="33F1E09C" w14:textId="77777777" w:rsidR="00703EF1" w:rsidRPr="00703EF1" w:rsidRDefault="00703EF1" w:rsidP="00703EF1">
      <w:pPr>
        <w:spacing w:after="0" w:line="240" w:lineRule="auto"/>
        <w:jc w:val="center"/>
        <w:rPr>
          <w:rFonts w:ascii="Times New Roman" w:hAnsi="Times New Roman" w:cs="Times New Roman"/>
          <w:sz w:val="20"/>
          <w:szCs w:val="20"/>
        </w:rPr>
      </w:pPr>
      <w:r w:rsidRPr="00703EF1">
        <w:rPr>
          <w:rFonts w:ascii="Times New Roman" w:hAnsi="Times New Roman" w:cs="Times New Roman"/>
          <w:sz w:val="20"/>
          <w:szCs w:val="20"/>
        </w:rPr>
        <w:t>Quadro 1– Variáveis Independentes do Modelo</w:t>
      </w:r>
    </w:p>
    <w:tbl>
      <w:tblPr>
        <w:tblStyle w:val="Tabelacomgrade"/>
        <w:tblW w:w="0" w:type="auto"/>
        <w:jc w:val="center"/>
        <w:tblLook w:val="04A0" w:firstRow="1" w:lastRow="0" w:firstColumn="1" w:lastColumn="0" w:noHBand="0" w:noVBand="1"/>
      </w:tblPr>
      <w:tblGrid>
        <w:gridCol w:w="2545"/>
        <w:gridCol w:w="5949"/>
      </w:tblGrid>
      <w:tr w:rsidR="00703EF1" w:rsidRPr="00703EF1" w14:paraId="6F61C754" w14:textId="77777777" w:rsidTr="00703EF1">
        <w:trPr>
          <w:jc w:val="center"/>
        </w:trPr>
        <w:tc>
          <w:tcPr>
            <w:tcW w:w="2545" w:type="dxa"/>
          </w:tcPr>
          <w:p w14:paraId="73B1A664" w14:textId="77777777" w:rsidR="00703EF1" w:rsidRPr="00703EF1" w:rsidRDefault="00703EF1" w:rsidP="00703EF1">
            <w:pPr>
              <w:jc w:val="center"/>
            </w:pPr>
            <w:r w:rsidRPr="00703EF1">
              <w:t>VARIÁVEL</w:t>
            </w:r>
          </w:p>
        </w:tc>
        <w:tc>
          <w:tcPr>
            <w:tcW w:w="5949" w:type="dxa"/>
          </w:tcPr>
          <w:p w14:paraId="01492D76" w14:textId="77777777" w:rsidR="00703EF1" w:rsidRPr="00703EF1" w:rsidRDefault="00703EF1" w:rsidP="00703EF1">
            <w:pPr>
              <w:jc w:val="center"/>
            </w:pPr>
            <w:r w:rsidRPr="00703EF1">
              <w:t>DESCRIÇÃO/OPERACIONALIZAÇÃO</w:t>
            </w:r>
          </w:p>
        </w:tc>
      </w:tr>
      <w:tr w:rsidR="00703EF1" w:rsidRPr="00703EF1" w14:paraId="3360F7BE" w14:textId="77777777" w:rsidTr="00703EF1">
        <w:trPr>
          <w:jc w:val="center"/>
        </w:trPr>
        <w:tc>
          <w:tcPr>
            <w:tcW w:w="2545" w:type="dxa"/>
          </w:tcPr>
          <w:p w14:paraId="1528DBF4" w14:textId="77777777" w:rsidR="00703EF1" w:rsidRPr="00703EF1" w:rsidRDefault="00703EF1" w:rsidP="00703EF1">
            <w:pPr>
              <w:jc w:val="center"/>
            </w:pPr>
            <w:r w:rsidRPr="00703EF1">
              <w:t>Tipo de Infração</w:t>
            </w:r>
          </w:p>
          <w:p w14:paraId="5B8AD703" w14:textId="77777777" w:rsidR="00703EF1" w:rsidRPr="00703EF1" w:rsidRDefault="00703EF1" w:rsidP="00703EF1">
            <w:pPr>
              <w:jc w:val="center"/>
            </w:pPr>
            <w:r w:rsidRPr="00703EF1">
              <w:t>(TI)</w:t>
            </w:r>
          </w:p>
        </w:tc>
        <w:tc>
          <w:tcPr>
            <w:tcW w:w="5949" w:type="dxa"/>
          </w:tcPr>
          <w:p w14:paraId="786770D8" w14:textId="77777777" w:rsidR="00703EF1" w:rsidRPr="00703EF1" w:rsidRDefault="00703EF1" w:rsidP="00703EF1">
            <w:pPr>
              <w:jc w:val="center"/>
            </w:pPr>
            <w:r w:rsidRPr="00703EF1">
              <w:t xml:space="preserve">Uma variável </w:t>
            </w:r>
            <w:proofErr w:type="spellStart"/>
            <w:r w:rsidRPr="00703EF1">
              <w:rPr>
                <w:i/>
              </w:rPr>
              <w:t>dummy</w:t>
            </w:r>
            <w:proofErr w:type="spellEnd"/>
            <w:r w:rsidRPr="00703EF1">
              <w:t xml:space="preserve"> em que foi atribuído 1 quando o contabilista foi punido por elaborar uma Decore irregular e 0 caso contrário. A variável buscou mensurar se o tipo de infração explica a variável resposta.</w:t>
            </w:r>
          </w:p>
        </w:tc>
      </w:tr>
      <w:tr w:rsidR="00703EF1" w:rsidRPr="00703EF1" w14:paraId="02035E6A" w14:textId="77777777" w:rsidTr="00703EF1">
        <w:trPr>
          <w:jc w:val="center"/>
        </w:trPr>
        <w:tc>
          <w:tcPr>
            <w:tcW w:w="2545" w:type="dxa"/>
          </w:tcPr>
          <w:p w14:paraId="2A0D15CE" w14:textId="77777777" w:rsidR="00703EF1" w:rsidRPr="00703EF1" w:rsidRDefault="00703EF1" w:rsidP="00703EF1">
            <w:pPr>
              <w:jc w:val="center"/>
            </w:pPr>
            <w:r w:rsidRPr="00703EF1">
              <w:t>Nível de Escolaridade do Contabilista</w:t>
            </w:r>
          </w:p>
          <w:p w14:paraId="530A5B3F" w14:textId="77777777" w:rsidR="00703EF1" w:rsidRPr="00703EF1" w:rsidRDefault="00703EF1" w:rsidP="00703EF1">
            <w:pPr>
              <w:jc w:val="center"/>
            </w:pPr>
            <w:r w:rsidRPr="00703EF1">
              <w:t>(NECONT)</w:t>
            </w:r>
          </w:p>
        </w:tc>
        <w:tc>
          <w:tcPr>
            <w:tcW w:w="5949" w:type="dxa"/>
          </w:tcPr>
          <w:p w14:paraId="4F5B70CE" w14:textId="77777777" w:rsidR="00703EF1" w:rsidRPr="00703EF1" w:rsidRDefault="00703EF1" w:rsidP="00703EF1">
            <w:pPr>
              <w:jc w:val="center"/>
            </w:pPr>
            <w:r w:rsidRPr="00703EF1">
              <w:t xml:space="preserve">Mede se a categoria profissional pode influenciar na variável resposta. Variável </w:t>
            </w:r>
            <w:proofErr w:type="spellStart"/>
            <w:r w:rsidRPr="00703EF1">
              <w:t>d</w:t>
            </w:r>
            <w:r w:rsidRPr="00703EF1">
              <w:rPr>
                <w:i/>
              </w:rPr>
              <w:t>ummy</w:t>
            </w:r>
            <w:proofErr w:type="spellEnd"/>
            <w:r w:rsidRPr="00703EF1">
              <w:t xml:space="preserve"> em que </w:t>
            </w:r>
            <w:proofErr w:type="gramStart"/>
            <w:r w:rsidRPr="00703EF1">
              <w:t>atribui-se</w:t>
            </w:r>
            <w:proofErr w:type="gramEnd"/>
            <w:r w:rsidRPr="00703EF1">
              <w:t xml:space="preserve"> 1 se a categoria profissional do apenado for contador e 0 caso contrário.</w:t>
            </w:r>
          </w:p>
        </w:tc>
      </w:tr>
      <w:tr w:rsidR="00703EF1" w:rsidRPr="00703EF1" w14:paraId="3FB995AE" w14:textId="77777777" w:rsidTr="00703EF1">
        <w:trPr>
          <w:jc w:val="center"/>
        </w:trPr>
        <w:tc>
          <w:tcPr>
            <w:tcW w:w="2545" w:type="dxa"/>
          </w:tcPr>
          <w:p w14:paraId="5649B83C" w14:textId="77777777" w:rsidR="00703EF1" w:rsidRPr="00703EF1" w:rsidRDefault="00703EF1" w:rsidP="00703EF1">
            <w:pPr>
              <w:jc w:val="center"/>
            </w:pPr>
            <w:r w:rsidRPr="00703EF1">
              <w:t>Localização Geográfica do Contabilista</w:t>
            </w:r>
          </w:p>
          <w:p w14:paraId="652DCAAF" w14:textId="77777777" w:rsidR="00703EF1" w:rsidRPr="00703EF1" w:rsidRDefault="00703EF1" w:rsidP="00703EF1">
            <w:pPr>
              <w:jc w:val="center"/>
            </w:pPr>
            <w:r w:rsidRPr="00703EF1">
              <w:t>(LGCONT)</w:t>
            </w:r>
          </w:p>
        </w:tc>
        <w:tc>
          <w:tcPr>
            <w:tcW w:w="5949" w:type="dxa"/>
          </w:tcPr>
          <w:p w14:paraId="28C59A34" w14:textId="77777777" w:rsidR="00703EF1" w:rsidRPr="00703EF1" w:rsidRDefault="00703EF1" w:rsidP="00703EF1">
            <w:pPr>
              <w:jc w:val="center"/>
            </w:pPr>
            <w:r w:rsidRPr="00703EF1">
              <w:t xml:space="preserve">Variável </w:t>
            </w:r>
            <w:proofErr w:type="spellStart"/>
            <w:r w:rsidRPr="00703EF1">
              <w:rPr>
                <w:i/>
              </w:rPr>
              <w:t>dummy</w:t>
            </w:r>
            <w:proofErr w:type="spellEnd"/>
            <w:r w:rsidRPr="00703EF1">
              <w:t xml:space="preserve"> em que foi atribuído 1 quando o profissional estar localizado no interior e 0 caso contrário. A variável busca capturar se a localização geográfica pode ter relação positiva com a variável resposta.</w:t>
            </w:r>
          </w:p>
        </w:tc>
      </w:tr>
      <w:tr w:rsidR="00703EF1" w:rsidRPr="00703EF1" w14:paraId="6483E269" w14:textId="77777777" w:rsidTr="00703EF1">
        <w:trPr>
          <w:trHeight w:val="1011"/>
          <w:jc w:val="center"/>
        </w:trPr>
        <w:tc>
          <w:tcPr>
            <w:tcW w:w="2545" w:type="dxa"/>
          </w:tcPr>
          <w:p w14:paraId="4DB0176A" w14:textId="77777777" w:rsidR="00703EF1" w:rsidRPr="00703EF1" w:rsidRDefault="00703EF1" w:rsidP="00703EF1">
            <w:pPr>
              <w:jc w:val="center"/>
            </w:pPr>
            <w:r w:rsidRPr="00703EF1">
              <w:t>Profissional Pessoa Física/Individual ou Sociedade (PIS)</w:t>
            </w:r>
          </w:p>
        </w:tc>
        <w:tc>
          <w:tcPr>
            <w:tcW w:w="5949" w:type="dxa"/>
          </w:tcPr>
          <w:p w14:paraId="777F2A3A" w14:textId="78EF9DC1" w:rsidR="00703EF1" w:rsidRPr="00703EF1" w:rsidRDefault="00703EF1" w:rsidP="00703EF1">
            <w:pPr>
              <w:jc w:val="center"/>
            </w:pPr>
            <w:r w:rsidRPr="00703EF1">
              <w:t xml:space="preserve">Variável </w:t>
            </w:r>
            <w:proofErr w:type="spellStart"/>
            <w:r w:rsidRPr="00703EF1">
              <w:rPr>
                <w:i/>
              </w:rPr>
              <w:t>dummy</w:t>
            </w:r>
            <w:proofErr w:type="spellEnd"/>
            <w:r w:rsidRPr="00703EF1">
              <w:t>, sendo 1 quando o contabilista for pessoa física/individual e 0 caso contrário. Com essa variável buscou-se verificar se a condição do contabilista ser uma pessoa física/individual ou estar em sociedade pode influenciar na variável resposta.</w:t>
            </w:r>
          </w:p>
        </w:tc>
      </w:tr>
    </w:tbl>
    <w:p w14:paraId="13FB9C9F" w14:textId="77777777" w:rsidR="00703EF1" w:rsidRPr="00703EF1" w:rsidRDefault="00703EF1" w:rsidP="00703EF1">
      <w:pPr>
        <w:spacing w:after="0" w:line="240" w:lineRule="auto"/>
        <w:jc w:val="center"/>
        <w:rPr>
          <w:rFonts w:ascii="Times New Roman" w:hAnsi="Times New Roman" w:cs="Times New Roman"/>
          <w:sz w:val="20"/>
          <w:szCs w:val="20"/>
        </w:rPr>
      </w:pPr>
      <w:r w:rsidRPr="00703EF1">
        <w:rPr>
          <w:rFonts w:ascii="Times New Roman" w:hAnsi="Times New Roman" w:cs="Times New Roman"/>
          <w:sz w:val="20"/>
          <w:szCs w:val="20"/>
        </w:rPr>
        <w:t>Fonte: Elaborado pelos autores</w:t>
      </w:r>
    </w:p>
    <w:p w14:paraId="2D1C4CF9" w14:textId="77777777" w:rsidR="00703EF1" w:rsidRDefault="00703EF1" w:rsidP="00703EF1">
      <w:pPr>
        <w:spacing w:after="0" w:line="360" w:lineRule="auto"/>
        <w:ind w:firstLine="709"/>
        <w:jc w:val="both"/>
        <w:rPr>
          <w:rFonts w:ascii="Times New Roman" w:hAnsi="Times New Roman" w:cs="Times New Roman"/>
          <w:sz w:val="24"/>
          <w:szCs w:val="24"/>
        </w:rPr>
      </w:pPr>
    </w:p>
    <w:p w14:paraId="36B431BD" w14:textId="375403A3"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Considerando um </w:t>
      </w:r>
      <w:proofErr w:type="spellStart"/>
      <w:r w:rsidRPr="00703EF1">
        <w:rPr>
          <w:rFonts w:ascii="Times New Roman" w:hAnsi="Times New Roman" w:cs="Times New Roman"/>
          <w:sz w:val="24"/>
          <w:szCs w:val="24"/>
        </w:rPr>
        <w:t>cutoff</w:t>
      </w:r>
      <w:proofErr w:type="spellEnd"/>
      <w:r w:rsidRPr="00703EF1">
        <w:rPr>
          <w:rFonts w:ascii="Times New Roman" w:hAnsi="Times New Roman" w:cs="Times New Roman"/>
          <w:sz w:val="24"/>
          <w:szCs w:val="24"/>
        </w:rPr>
        <w:t xml:space="preserve"> de 0.5, a classificação correta do modelo ficou em 93,08% e a área sob a curva de ROC (</w:t>
      </w:r>
      <w:proofErr w:type="spellStart"/>
      <w:r w:rsidRPr="00703EF1">
        <w:rPr>
          <w:rFonts w:ascii="Times New Roman" w:hAnsi="Times New Roman" w:cs="Times New Roman"/>
          <w:sz w:val="24"/>
          <w:szCs w:val="24"/>
        </w:rPr>
        <w:t>Receiver</w:t>
      </w:r>
      <w:proofErr w:type="spellEnd"/>
      <w:r w:rsidRPr="00703EF1">
        <w:rPr>
          <w:rFonts w:ascii="Times New Roman" w:hAnsi="Times New Roman" w:cs="Times New Roman"/>
          <w:sz w:val="24"/>
          <w:szCs w:val="24"/>
        </w:rPr>
        <w:t xml:space="preserve"> </w:t>
      </w:r>
      <w:proofErr w:type="spellStart"/>
      <w:r w:rsidRPr="00703EF1">
        <w:rPr>
          <w:rFonts w:ascii="Times New Roman" w:hAnsi="Times New Roman" w:cs="Times New Roman"/>
          <w:sz w:val="24"/>
          <w:szCs w:val="24"/>
        </w:rPr>
        <w:t>Operating</w:t>
      </w:r>
      <w:proofErr w:type="spellEnd"/>
      <w:r w:rsidRPr="00703EF1">
        <w:rPr>
          <w:rFonts w:ascii="Times New Roman" w:hAnsi="Times New Roman" w:cs="Times New Roman"/>
          <w:sz w:val="24"/>
          <w:szCs w:val="24"/>
        </w:rPr>
        <w:t xml:space="preserve"> </w:t>
      </w:r>
      <w:proofErr w:type="spellStart"/>
      <w:r w:rsidRPr="00703EF1">
        <w:rPr>
          <w:rFonts w:ascii="Times New Roman" w:hAnsi="Times New Roman" w:cs="Times New Roman"/>
          <w:sz w:val="24"/>
          <w:szCs w:val="24"/>
        </w:rPr>
        <w:t>Characteristic</w:t>
      </w:r>
      <w:proofErr w:type="spellEnd"/>
      <w:r w:rsidRPr="00703EF1">
        <w:rPr>
          <w:rFonts w:ascii="Times New Roman" w:hAnsi="Times New Roman" w:cs="Times New Roman"/>
          <w:sz w:val="24"/>
          <w:szCs w:val="24"/>
        </w:rPr>
        <w:t xml:space="preserve">) alcançou 0.700, o que permite considerar o modelo como aceitável. (Fávero et al., 2014). </w:t>
      </w:r>
    </w:p>
    <w:p w14:paraId="12C16FD0" w14:textId="77777777" w:rsidR="00AE3A1B" w:rsidRPr="00AE3A1B" w:rsidRDefault="00AE3A1B" w:rsidP="00AE3A1B">
      <w:pPr>
        <w:spacing w:after="0" w:line="360" w:lineRule="auto"/>
        <w:jc w:val="both"/>
        <w:rPr>
          <w:rFonts w:ascii="Times New Roman" w:hAnsi="Times New Roman" w:cs="Times New Roman"/>
          <w:b/>
          <w:bCs/>
          <w:sz w:val="24"/>
          <w:szCs w:val="24"/>
        </w:rPr>
      </w:pPr>
    </w:p>
    <w:p w14:paraId="39E4FF6B" w14:textId="5D6F529E" w:rsidR="00703EF1" w:rsidRPr="00703EF1" w:rsidRDefault="00703EF1" w:rsidP="00AE3A1B">
      <w:pPr>
        <w:spacing w:after="0" w:line="360" w:lineRule="auto"/>
        <w:jc w:val="both"/>
        <w:rPr>
          <w:rFonts w:ascii="Times New Roman" w:hAnsi="Times New Roman" w:cs="Times New Roman"/>
          <w:sz w:val="24"/>
          <w:szCs w:val="24"/>
        </w:rPr>
      </w:pPr>
      <w:r w:rsidRPr="00AE3A1B">
        <w:rPr>
          <w:rFonts w:ascii="Times New Roman" w:hAnsi="Times New Roman" w:cs="Times New Roman"/>
          <w:b/>
          <w:bCs/>
          <w:sz w:val="24"/>
          <w:szCs w:val="24"/>
        </w:rPr>
        <w:t>4 APRESENTAÇÃO E ANÁLISE DOS DADOS</w:t>
      </w:r>
    </w:p>
    <w:p w14:paraId="21278AF5"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Diante do conjunto de dados utilizados para o presente estudo, o resultado do coeficiente de </w:t>
      </w:r>
      <w:proofErr w:type="spellStart"/>
      <w:r w:rsidRPr="00703EF1">
        <w:rPr>
          <w:rFonts w:ascii="Times New Roman" w:hAnsi="Times New Roman" w:cs="Times New Roman"/>
          <w:sz w:val="24"/>
          <w:szCs w:val="24"/>
        </w:rPr>
        <w:t>Spearman</w:t>
      </w:r>
      <w:proofErr w:type="spellEnd"/>
      <w:r w:rsidRPr="00703EF1">
        <w:rPr>
          <w:rFonts w:ascii="Times New Roman" w:hAnsi="Times New Roman" w:cs="Times New Roman"/>
          <w:sz w:val="24"/>
          <w:szCs w:val="24"/>
        </w:rPr>
        <w:t xml:space="preserve"> apresentou-se abaixo de 5%, sendo possível rejeitar a hipótese nula de que não há relação positiva entre as variáveis multa e tipos de infrações. Logo, adota-se a hipótese alternativa a 95% de confiança de que há relação positiva entre as variáveis estudadas, ou seja, variáveis resposta (multa) e interesse (TI). Conforme resultado da regressão logística, há evidência de que os tipos de infrações podem ser um fator para explicar as multas aplicadas aos profissionais contabilistas, uma vez que </w:t>
      </w:r>
      <w:proofErr w:type="spellStart"/>
      <w:r w:rsidRPr="00703EF1">
        <w:rPr>
          <w:rFonts w:ascii="Times New Roman" w:hAnsi="Times New Roman" w:cs="Times New Roman"/>
          <w:sz w:val="24"/>
          <w:szCs w:val="24"/>
        </w:rPr>
        <w:t>P_value</w:t>
      </w:r>
      <w:proofErr w:type="spellEnd"/>
      <w:r w:rsidRPr="00703EF1">
        <w:rPr>
          <w:rFonts w:ascii="Times New Roman" w:hAnsi="Times New Roman" w:cs="Times New Roman"/>
          <w:sz w:val="24"/>
          <w:szCs w:val="24"/>
        </w:rPr>
        <w:t xml:space="preserve"> para a variável de interesse foi significativo estatisticamente. </w:t>
      </w:r>
    </w:p>
    <w:p w14:paraId="050A9FBD" w14:textId="77777777" w:rsid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O resultado da regressão apresentou coeficiente positivo, logo, é possível inferir que contabilistas punidos por </w:t>
      </w:r>
      <w:proofErr w:type="gramStart"/>
      <w:r w:rsidRPr="00703EF1">
        <w:rPr>
          <w:rFonts w:ascii="Times New Roman" w:hAnsi="Times New Roman" w:cs="Times New Roman"/>
          <w:sz w:val="24"/>
          <w:szCs w:val="24"/>
        </w:rPr>
        <w:t>elaborar Decore</w:t>
      </w:r>
      <w:proofErr w:type="gramEnd"/>
      <w:r w:rsidRPr="00703EF1">
        <w:rPr>
          <w:rFonts w:ascii="Times New Roman" w:hAnsi="Times New Roman" w:cs="Times New Roman"/>
          <w:sz w:val="24"/>
          <w:szCs w:val="24"/>
        </w:rPr>
        <w:t xml:space="preserve"> irregular, têm maior probabilidade de serem punidos com </w:t>
      </w:r>
      <w:r w:rsidRPr="00703EF1">
        <w:rPr>
          <w:rFonts w:ascii="Times New Roman" w:hAnsi="Times New Roman" w:cs="Times New Roman"/>
          <w:sz w:val="24"/>
          <w:szCs w:val="24"/>
        </w:rPr>
        <w:lastRenderedPageBreak/>
        <w:t xml:space="preserve">multas, confirmando a hipótese testada. Considerando um intervalor de confiança a 10%, a variável de controle PIS, apresenta significância estatística, porém, com coeficiente negativo, mostrando que há menor probabilidade de que profissionais contabilistas na qualidade de pessoa física/individual, sejam punidos com multas, se comparados com aquele(s) que exercem a profissão em sociedade. A Tabela 1, a seguir, mostra os resultados do teste de </w:t>
      </w:r>
      <w:proofErr w:type="spellStart"/>
      <w:r w:rsidRPr="00703EF1">
        <w:rPr>
          <w:rFonts w:ascii="Times New Roman" w:hAnsi="Times New Roman" w:cs="Times New Roman"/>
          <w:sz w:val="24"/>
          <w:szCs w:val="24"/>
        </w:rPr>
        <w:t>Spearman</w:t>
      </w:r>
      <w:proofErr w:type="spellEnd"/>
      <w:r w:rsidRPr="00703EF1">
        <w:rPr>
          <w:rFonts w:ascii="Times New Roman" w:hAnsi="Times New Roman" w:cs="Times New Roman"/>
          <w:sz w:val="24"/>
          <w:szCs w:val="24"/>
        </w:rPr>
        <w:t xml:space="preserve"> e da regressão logística para as variáveis em estudo.</w:t>
      </w:r>
    </w:p>
    <w:p w14:paraId="0C2EDF20" w14:textId="77777777" w:rsidR="00AE3A1B" w:rsidRPr="00703EF1" w:rsidRDefault="00AE3A1B" w:rsidP="00AE3A1B">
      <w:pPr>
        <w:spacing w:after="0" w:line="240" w:lineRule="auto"/>
        <w:ind w:firstLine="709"/>
        <w:jc w:val="both"/>
        <w:rPr>
          <w:rFonts w:ascii="Times New Roman" w:hAnsi="Times New Roman" w:cs="Times New Roman"/>
          <w:sz w:val="24"/>
          <w:szCs w:val="24"/>
        </w:rPr>
      </w:pPr>
    </w:p>
    <w:p w14:paraId="039EDB1F" w14:textId="77777777" w:rsidR="00703EF1" w:rsidRPr="00AE3A1B" w:rsidRDefault="00703EF1" w:rsidP="00AE3A1B">
      <w:pPr>
        <w:spacing w:after="0" w:line="240" w:lineRule="auto"/>
        <w:jc w:val="center"/>
        <w:rPr>
          <w:rFonts w:ascii="Times New Roman" w:hAnsi="Times New Roman" w:cs="Times New Roman"/>
          <w:sz w:val="20"/>
          <w:szCs w:val="20"/>
        </w:rPr>
      </w:pPr>
      <w:r w:rsidRPr="00AE3A1B">
        <w:rPr>
          <w:rFonts w:ascii="Times New Roman" w:hAnsi="Times New Roman" w:cs="Times New Roman"/>
          <w:sz w:val="20"/>
          <w:szCs w:val="20"/>
        </w:rPr>
        <w:t>Tabela 1 – Resultados da Regressão Logística.</w:t>
      </w: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1859"/>
        <w:gridCol w:w="1859"/>
        <w:gridCol w:w="1859"/>
        <w:gridCol w:w="1859"/>
      </w:tblGrid>
      <w:tr w:rsidR="00AE3A1B" w:rsidRPr="00AE3A1B" w14:paraId="6798C8EF" w14:textId="77777777" w:rsidTr="00E079C4">
        <w:trPr>
          <w:trHeight w:val="382"/>
          <w:jc w:val="center"/>
        </w:trPr>
        <w:tc>
          <w:tcPr>
            <w:tcW w:w="1859" w:type="dxa"/>
            <w:tcBorders>
              <w:bottom w:val="single" w:sz="4" w:space="0" w:color="auto"/>
              <w:right w:val="nil"/>
            </w:tcBorders>
          </w:tcPr>
          <w:p w14:paraId="3C1045CA" w14:textId="77777777" w:rsidR="00AE3A1B" w:rsidRPr="00AE3A1B" w:rsidRDefault="00AE3A1B" w:rsidP="00AE3A1B">
            <w:pPr>
              <w:pBdr>
                <w:left w:val="single" w:sz="4" w:space="4" w:color="auto"/>
              </w:pBdr>
              <w:autoSpaceDE w:val="0"/>
              <w:autoSpaceDN w:val="0"/>
              <w:adjustRightInd w:val="0"/>
              <w:jc w:val="center"/>
            </w:pPr>
            <w:r w:rsidRPr="00AE3A1B">
              <w:t>Variáveis</w:t>
            </w:r>
          </w:p>
        </w:tc>
        <w:tc>
          <w:tcPr>
            <w:tcW w:w="1859" w:type="dxa"/>
            <w:tcBorders>
              <w:left w:val="nil"/>
              <w:bottom w:val="single" w:sz="4" w:space="0" w:color="auto"/>
              <w:right w:val="nil"/>
            </w:tcBorders>
          </w:tcPr>
          <w:p w14:paraId="575225F5" w14:textId="77777777" w:rsidR="00AE3A1B" w:rsidRPr="00AE3A1B" w:rsidRDefault="00AE3A1B" w:rsidP="00AE3A1B">
            <w:pPr>
              <w:pBdr>
                <w:left w:val="single" w:sz="4" w:space="4" w:color="auto"/>
              </w:pBdr>
              <w:autoSpaceDE w:val="0"/>
              <w:autoSpaceDN w:val="0"/>
              <w:adjustRightInd w:val="0"/>
              <w:jc w:val="center"/>
            </w:pPr>
            <w:r w:rsidRPr="00AE3A1B">
              <w:t>Coeficiente</w:t>
            </w:r>
          </w:p>
        </w:tc>
        <w:tc>
          <w:tcPr>
            <w:tcW w:w="1859" w:type="dxa"/>
            <w:tcBorders>
              <w:left w:val="nil"/>
              <w:bottom w:val="single" w:sz="4" w:space="0" w:color="auto"/>
              <w:right w:val="nil"/>
            </w:tcBorders>
          </w:tcPr>
          <w:p w14:paraId="0586FE1A" w14:textId="77777777" w:rsidR="00AE3A1B" w:rsidRPr="00AE3A1B" w:rsidRDefault="00AE3A1B" w:rsidP="00AE3A1B">
            <w:pPr>
              <w:pBdr>
                <w:left w:val="single" w:sz="4" w:space="4" w:color="auto"/>
              </w:pBdr>
              <w:autoSpaceDE w:val="0"/>
              <w:autoSpaceDN w:val="0"/>
              <w:adjustRightInd w:val="0"/>
              <w:jc w:val="center"/>
            </w:pPr>
            <w:r w:rsidRPr="00AE3A1B">
              <w:t>Z</w:t>
            </w:r>
          </w:p>
        </w:tc>
        <w:tc>
          <w:tcPr>
            <w:tcW w:w="1859" w:type="dxa"/>
            <w:tcBorders>
              <w:left w:val="nil"/>
              <w:bottom w:val="single" w:sz="4" w:space="0" w:color="auto"/>
            </w:tcBorders>
          </w:tcPr>
          <w:p w14:paraId="26CED39C" w14:textId="77777777" w:rsidR="00AE3A1B" w:rsidRPr="00AE3A1B" w:rsidRDefault="00AE3A1B" w:rsidP="00AE3A1B">
            <w:pPr>
              <w:pBdr>
                <w:left w:val="single" w:sz="4" w:space="4" w:color="auto"/>
              </w:pBdr>
              <w:autoSpaceDE w:val="0"/>
              <w:autoSpaceDN w:val="0"/>
              <w:adjustRightInd w:val="0"/>
              <w:jc w:val="center"/>
              <w:rPr>
                <w:i/>
                <w:iCs/>
              </w:rPr>
            </w:pPr>
            <w:r w:rsidRPr="00AE3A1B">
              <w:rPr>
                <w:i/>
                <w:iCs/>
              </w:rPr>
              <w:t xml:space="preserve">P. </w:t>
            </w:r>
            <w:r w:rsidRPr="00AE3A1B">
              <w:t>valor</w:t>
            </w:r>
          </w:p>
        </w:tc>
      </w:tr>
      <w:tr w:rsidR="00AE3A1B" w:rsidRPr="00AE3A1B" w14:paraId="40CB9FDC" w14:textId="77777777" w:rsidTr="00E079C4">
        <w:trPr>
          <w:trHeight w:val="382"/>
          <w:jc w:val="center"/>
        </w:trPr>
        <w:tc>
          <w:tcPr>
            <w:tcW w:w="1859" w:type="dxa"/>
            <w:tcBorders>
              <w:bottom w:val="nil"/>
              <w:right w:val="nil"/>
            </w:tcBorders>
          </w:tcPr>
          <w:p w14:paraId="6B615AAE" w14:textId="77777777" w:rsidR="00AE3A1B" w:rsidRPr="00AE3A1B" w:rsidRDefault="00AE3A1B" w:rsidP="00AE3A1B">
            <w:pPr>
              <w:autoSpaceDE w:val="0"/>
              <w:autoSpaceDN w:val="0"/>
              <w:adjustRightInd w:val="0"/>
              <w:jc w:val="center"/>
            </w:pPr>
            <w:r w:rsidRPr="00AE3A1B">
              <w:t>TI</w:t>
            </w:r>
          </w:p>
        </w:tc>
        <w:tc>
          <w:tcPr>
            <w:tcW w:w="1859" w:type="dxa"/>
            <w:tcBorders>
              <w:left w:val="nil"/>
              <w:bottom w:val="nil"/>
              <w:right w:val="nil"/>
            </w:tcBorders>
          </w:tcPr>
          <w:p w14:paraId="10E0A798" w14:textId="77777777" w:rsidR="00AE3A1B" w:rsidRPr="00AE3A1B" w:rsidRDefault="00AE3A1B" w:rsidP="00AE3A1B">
            <w:pPr>
              <w:autoSpaceDE w:val="0"/>
              <w:autoSpaceDN w:val="0"/>
              <w:adjustRightInd w:val="0"/>
              <w:jc w:val="center"/>
            </w:pPr>
            <w:r w:rsidRPr="00AE3A1B">
              <w:t>1.192267</w:t>
            </w:r>
          </w:p>
        </w:tc>
        <w:tc>
          <w:tcPr>
            <w:tcW w:w="1859" w:type="dxa"/>
            <w:tcBorders>
              <w:left w:val="nil"/>
              <w:bottom w:val="nil"/>
              <w:right w:val="nil"/>
            </w:tcBorders>
          </w:tcPr>
          <w:p w14:paraId="158A38BB" w14:textId="77777777" w:rsidR="00AE3A1B" w:rsidRPr="00AE3A1B" w:rsidRDefault="00AE3A1B" w:rsidP="00AE3A1B">
            <w:pPr>
              <w:autoSpaceDE w:val="0"/>
              <w:autoSpaceDN w:val="0"/>
              <w:adjustRightInd w:val="0"/>
              <w:jc w:val="center"/>
            </w:pPr>
            <w:r w:rsidRPr="00AE3A1B">
              <w:t>2.31</w:t>
            </w:r>
          </w:p>
        </w:tc>
        <w:tc>
          <w:tcPr>
            <w:tcW w:w="1859" w:type="dxa"/>
            <w:tcBorders>
              <w:left w:val="nil"/>
              <w:bottom w:val="nil"/>
            </w:tcBorders>
          </w:tcPr>
          <w:p w14:paraId="72AF0E7C" w14:textId="77777777" w:rsidR="00AE3A1B" w:rsidRPr="00AE3A1B" w:rsidRDefault="00AE3A1B" w:rsidP="00AE3A1B">
            <w:pPr>
              <w:autoSpaceDE w:val="0"/>
              <w:autoSpaceDN w:val="0"/>
              <w:adjustRightInd w:val="0"/>
              <w:jc w:val="center"/>
            </w:pPr>
            <w:r w:rsidRPr="00AE3A1B">
              <w:t>0.021</w:t>
            </w:r>
          </w:p>
        </w:tc>
      </w:tr>
      <w:tr w:rsidR="00AE3A1B" w:rsidRPr="00AE3A1B" w14:paraId="1B159CD9" w14:textId="77777777" w:rsidTr="00E079C4">
        <w:trPr>
          <w:trHeight w:val="382"/>
          <w:jc w:val="center"/>
        </w:trPr>
        <w:tc>
          <w:tcPr>
            <w:tcW w:w="1859" w:type="dxa"/>
            <w:tcBorders>
              <w:top w:val="nil"/>
              <w:bottom w:val="nil"/>
              <w:right w:val="nil"/>
            </w:tcBorders>
          </w:tcPr>
          <w:p w14:paraId="5EC09BA7" w14:textId="77777777" w:rsidR="00AE3A1B" w:rsidRPr="00AE3A1B" w:rsidRDefault="00AE3A1B" w:rsidP="00AE3A1B">
            <w:pPr>
              <w:autoSpaceDE w:val="0"/>
              <w:autoSpaceDN w:val="0"/>
              <w:adjustRightInd w:val="0"/>
              <w:jc w:val="center"/>
            </w:pPr>
            <w:r w:rsidRPr="00AE3A1B">
              <w:t>NECONT</w:t>
            </w:r>
          </w:p>
        </w:tc>
        <w:tc>
          <w:tcPr>
            <w:tcW w:w="1859" w:type="dxa"/>
            <w:tcBorders>
              <w:top w:val="nil"/>
              <w:left w:val="nil"/>
              <w:bottom w:val="nil"/>
              <w:right w:val="nil"/>
            </w:tcBorders>
          </w:tcPr>
          <w:p w14:paraId="1E20429E" w14:textId="77777777" w:rsidR="00AE3A1B" w:rsidRPr="00AE3A1B" w:rsidRDefault="00AE3A1B" w:rsidP="00AE3A1B">
            <w:pPr>
              <w:autoSpaceDE w:val="0"/>
              <w:autoSpaceDN w:val="0"/>
              <w:adjustRightInd w:val="0"/>
              <w:jc w:val="center"/>
            </w:pPr>
            <w:r w:rsidRPr="00AE3A1B">
              <w:t>-.594175</w:t>
            </w:r>
          </w:p>
        </w:tc>
        <w:tc>
          <w:tcPr>
            <w:tcW w:w="1859" w:type="dxa"/>
            <w:tcBorders>
              <w:top w:val="nil"/>
              <w:left w:val="nil"/>
              <w:bottom w:val="nil"/>
              <w:right w:val="nil"/>
            </w:tcBorders>
          </w:tcPr>
          <w:p w14:paraId="56A85EEB" w14:textId="77777777" w:rsidR="00AE3A1B" w:rsidRPr="00AE3A1B" w:rsidRDefault="00AE3A1B" w:rsidP="00AE3A1B">
            <w:pPr>
              <w:autoSpaceDE w:val="0"/>
              <w:autoSpaceDN w:val="0"/>
              <w:adjustRightInd w:val="0"/>
              <w:jc w:val="center"/>
            </w:pPr>
            <w:r w:rsidRPr="00AE3A1B">
              <w:t>-1.29</w:t>
            </w:r>
          </w:p>
        </w:tc>
        <w:tc>
          <w:tcPr>
            <w:tcW w:w="1859" w:type="dxa"/>
            <w:tcBorders>
              <w:top w:val="nil"/>
              <w:left w:val="nil"/>
              <w:bottom w:val="nil"/>
            </w:tcBorders>
          </w:tcPr>
          <w:p w14:paraId="144E4E11" w14:textId="77777777" w:rsidR="00AE3A1B" w:rsidRPr="00AE3A1B" w:rsidRDefault="00AE3A1B" w:rsidP="00AE3A1B">
            <w:pPr>
              <w:autoSpaceDE w:val="0"/>
              <w:autoSpaceDN w:val="0"/>
              <w:adjustRightInd w:val="0"/>
              <w:jc w:val="center"/>
            </w:pPr>
            <w:r w:rsidRPr="00AE3A1B">
              <w:t>0.197</w:t>
            </w:r>
          </w:p>
        </w:tc>
      </w:tr>
      <w:tr w:rsidR="00AE3A1B" w:rsidRPr="00AE3A1B" w14:paraId="0F193BA2" w14:textId="77777777" w:rsidTr="00E079C4">
        <w:trPr>
          <w:trHeight w:val="397"/>
          <w:jc w:val="center"/>
        </w:trPr>
        <w:tc>
          <w:tcPr>
            <w:tcW w:w="1859" w:type="dxa"/>
            <w:tcBorders>
              <w:top w:val="nil"/>
              <w:bottom w:val="nil"/>
              <w:right w:val="nil"/>
            </w:tcBorders>
          </w:tcPr>
          <w:p w14:paraId="272EECED" w14:textId="77777777" w:rsidR="00AE3A1B" w:rsidRPr="00AE3A1B" w:rsidRDefault="00AE3A1B" w:rsidP="00AE3A1B">
            <w:pPr>
              <w:autoSpaceDE w:val="0"/>
              <w:autoSpaceDN w:val="0"/>
              <w:adjustRightInd w:val="0"/>
              <w:jc w:val="center"/>
            </w:pPr>
            <w:r w:rsidRPr="00AE3A1B">
              <w:t>LGCONT</w:t>
            </w:r>
          </w:p>
        </w:tc>
        <w:tc>
          <w:tcPr>
            <w:tcW w:w="1859" w:type="dxa"/>
            <w:tcBorders>
              <w:top w:val="nil"/>
              <w:left w:val="nil"/>
              <w:bottom w:val="nil"/>
              <w:right w:val="nil"/>
            </w:tcBorders>
          </w:tcPr>
          <w:p w14:paraId="4E440D7F" w14:textId="77777777" w:rsidR="00AE3A1B" w:rsidRPr="00AE3A1B" w:rsidRDefault="00AE3A1B" w:rsidP="00AE3A1B">
            <w:pPr>
              <w:autoSpaceDE w:val="0"/>
              <w:autoSpaceDN w:val="0"/>
              <w:adjustRightInd w:val="0"/>
              <w:jc w:val="center"/>
            </w:pPr>
            <w:r w:rsidRPr="00AE3A1B">
              <w:t>-.3398693</w:t>
            </w:r>
          </w:p>
        </w:tc>
        <w:tc>
          <w:tcPr>
            <w:tcW w:w="1859" w:type="dxa"/>
            <w:tcBorders>
              <w:top w:val="nil"/>
              <w:left w:val="nil"/>
              <w:bottom w:val="nil"/>
              <w:right w:val="nil"/>
            </w:tcBorders>
          </w:tcPr>
          <w:p w14:paraId="23C6B354" w14:textId="77777777" w:rsidR="00AE3A1B" w:rsidRPr="00AE3A1B" w:rsidRDefault="00AE3A1B" w:rsidP="00AE3A1B">
            <w:pPr>
              <w:autoSpaceDE w:val="0"/>
              <w:autoSpaceDN w:val="0"/>
              <w:adjustRightInd w:val="0"/>
              <w:jc w:val="center"/>
            </w:pPr>
            <w:r w:rsidRPr="00AE3A1B">
              <w:t>-0.62</w:t>
            </w:r>
          </w:p>
        </w:tc>
        <w:tc>
          <w:tcPr>
            <w:tcW w:w="1859" w:type="dxa"/>
            <w:tcBorders>
              <w:top w:val="nil"/>
              <w:left w:val="nil"/>
              <w:bottom w:val="nil"/>
            </w:tcBorders>
          </w:tcPr>
          <w:p w14:paraId="18DA7077" w14:textId="77777777" w:rsidR="00AE3A1B" w:rsidRPr="00AE3A1B" w:rsidRDefault="00AE3A1B" w:rsidP="00AE3A1B">
            <w:pPr>
              <w:autoSpaceDE w:val="0"/>
              <w:autoSpaceDN w:val="0"/>
              <w:adjustRightInd w:val="0"/>
              <w:jc w:val="center"/>
            </w:pPr>
            <w:r w:rsidRPr="00AE3A1B">
              <w:t>0.537</w:t>
            </w:r>
          </w:p>
        </w:tc>
      </w:tr>
      <w:tr w:rsidR="00AE3A1B" w:rsidRPr="00AE3A1B" w14:paraId="64F771CA" w14:textId="77777777" w:rsidTr="00E079C4">
        <w:trPr>
          <w:trHeight w:val="382"/>
          <w:jc w:val="center"/>
        </w:trPr>
        <w:tc>
          <w:tcPr>
            <w:tcW w:w="1859" w:type="dxa"/>
            <w:tcBorders>
              <w:top w:val="nil"/>
              <w:bottom w:val="nil"/>
              <w:right w:val="nil"/>
            </w:tcBorders>
          </w:tcPr>
          <w:p w14:paraId="56116462" w14:textId="77777777" w:rsidR="00AE3A1B" w:rsidRPr="00AE3A1B" w:rsidRDefault="00AE3A1B" w:rsidP="00AE3A1B">
            <w:pPr>
              <w:autoSpaceDE w:val="0"/>
              <w:autoSpaceDN w:val="0"/>
              <w:adjustRightInd w:val="0"/>
              <w:jc w:val="center"/>
            </w:pPr>
            <w:r w:rsidRPr="00AE3A1B">
              <w:t>PIS</w:t>
            </w:r>
          </w:p>
        </w:tc>
        <w:tc>
          <w:tcPr>
            <w:tcW w:w="1859" w:type="dxa"/>
            <w:tcBorders>
              <w:top w:val="nil"/>
              <w:left w:val="nil"/>
              <w:bottom w:val="nil"/>
              <w:right w:val="nil"/>
            </w:tcBorders>
          </w:tcPr>
          <w:p w14:paraId="7444D5B8" w14:textId="77777777" w:rsidR="00AE3A1B" w:rsidRPr="00AE3A1B" w:rsidRDefault="00AE3A1B" w:rsidP="00AE3A1B">
            <w:pPr>
              <w:autoSpaceDE w:val="0"/>
              <w:autoSpaceDN w:val="0"/>
              <w:adjustRightInd w:val="0"/>
              <w:jc w:val="center"/>
            </w:pPr>
            <w:r w:rsidRPr="00AE3A1B">
              <w:t>-.8318027</w:t>
            </w:r>
          </w:p>
        </w:tc>
        <w:tc>
          <w:tcPr>
            <w:tcW w:w="1859" w:type="dxa"/>
            <w:tcBorders>
              <w:top w:val="nil"/>
              <w:left w:val="nil"/>
              <w:bottom w:val="nil"/>
              <w:right w:val="nil"/>
            </w:tcBorders>
          </w:tcPr>
          <w:p w14:paraId="0FC7F70C" w14:textId="77777777" w:rsidR="00AE3A1B" w:rsidRPr="00AE3A1B" w:rsidRDefault="00AE3A1B" w:rsidP="00AE3A1B">
            <w:pPr>
              <w:autoSpaceDE w:val="0"/>
              <w:autoSpaceDN w:val="0"/>
              <w:adjustRightInd w:val="0"/>
              <w:jc w:val="center"/>
            </w:pPr>
            <w:r w:rsidRPr="00AE3A1B">
              <w:t>-1.88</w:t>
            </w:r>
          </w:p>
        </w:tc>
        <w:tc>
          <w:tcPr>
            <w:tcW w:w="1859" w:type="dxa"/>
            <w:tcBorders>
              <w:top w:val="nil"/>
              <w:left w:val="nil"/>
              <w:bottom w:val="nil"/>
            </w:tcBorders>
          </w:tcPr>
          <w:p w14:paraId="055D3CF0" w14:textId="77777777" w:rsidR="00AE3A1B" w:rsidRPr="00AE3A1B" w:rsidRDefault="00AE3A1B" w:rsidP="00AE3A1B">
            <w:pPr>
              <w:autoSpaceDE w:val="0"/>
              <w:autoSpaceDN w:val="0"/>
              <w:adjustRightInd w:val="0"/>
              <w:jc w:val="center"/>
            </w:pPr>
            <w:r w:rsidRPr="00AE3A1B">
              <w:t>0.060</w:t>
            </w:r>
          </w:p>
        </w:tc>
      </w:tr>
      <w:tr w:rsidR="00AE3A1B" w:rsidRPr="00AE3A1B" w14:paraId="012EAB79" w14:textId="77777777" w:rsidTr="00E079C4">
        <w:trPr>
          <w:trHeight w:val="382"/>
          <w:jc w:val="center"/>
        </w:trPr>
        <w:tc>
          <w:tcPr>
            <w:tcW w:w="1859" w:type="dxa"/>
            <w:tcBorders>
              <w:top w:val="nil"/>
              <w:right w:val="nil"/>
            </w:tcBorders>
          </w:tcPr>
          <w:p w14:paraId="03D551D7" w14:textId="77777777" w:rsidR="00AE3A1B" w:rsidRPr="00AE3A1B" w:rsidRDefault="00AE3A1B" w:rsidP="00AE3A1B">
            <w:pPr>
              <w:autoSpaceDE w:val="0"/>
              <w:autoSpaceDN w:val="0"/>
              <w:adjustRightInd w:val="0"/>
              <w:jc w:val="center"/>
            </w:pPr>
            <w:r w:rsidRPr="00AE3A1B">
              <w:t>_</w:t>
            </w:r>
            <w:proofErr w:type="spellStart"/>
            <w:r w:rsidRPr="00AE3A1B">
              <w:t>cons</w:t>
            </w:r>
            <w:proofErr w:type="spellEnd"/>
          </w:p>
        </w:tc>
        <w:tc>
          <w:tcPr>
            <w:tcW w:w="1859" w:type="dxa"/>
            <w:tcBorders>
              <w:top w:val="nil"/>
              <w:left w:val="nil"/>
              <w:right w:val="nil"/>
            </w:tcBorders>
          </w:tcPr>
          <w:p w14:paraId="29B15775" w14:textId="77777777" w:rsidR="00AE3A1B" w:rsidRPr="00AE3A1B" w:rsidRDefault="00AE3A1B" w:rsidP="00AE3A1B">
            <w:pPr>
              <w:autoSpaceDE w:val="0"/>
              <w:autoSpaceDN w:val="0"/>
              <w:adjustRightInd w:val="0"/>
              <w:jc w:val="center"/>
            </w:pPr>
            <w:r w:rsidRPr="00AE3A1B">
              <w:t>3.074757</w:t>
            </w:r>
          </w:p>
        </w:tc>
        <w:tc>
          <w:tcPr>
            <w:tcW w:w="1859" w:type="dxa"/>
            <w:tcBorders>
              <w:top w:val="nil"/>
              <w:left w:val="nil"/>
              <w:right w:val="nil"/>
            </w:tcBorders>
          </w:tcPr>
          <w:p w14:paraId="1374FFBE" w14:textId="77777777" w:rsidR="00AE3A1B" w:rsidRPr="00AE3A1B" w:rsidRDefault="00AE3A1B" w:rsidP="00AE3A1B">
            <w:pPr>
              <w:autoSpaceDE w:val="0"/>
              <w:autoSpaceDN w:val="0"/>
              <w:adjustRightInd w:val="0"/>
              <w:jc w:val="center"/>
            </w:pPr>
            <w:r w:rsidRPr="00AE3A1B">
              <w:t>4.66</w:t>
            </w:r>
          </w:p>
        </w:tc>
        <w:tc>
          <w:tcPr>
            <w:tcW w:w="1859" w:type="dxa"/>
            <w:tcBorders>
              <w:top w:val="nil"/>
              <w:left w:val="nil"/>
            </w:tcBorders>
          </w:tcPr>
          <w:p w14:paraId="0A83E681" w14:textId="77777777" w:rsidR="00AE3A1B" w:rsidRPr="00AE3A1B" w:rsidRDefault="00AE3A1B" w:rsidP="00AE3A1B">
            <w:pPr>
              <w:autoSpaceDE w:val="0"/>
              <w:autoSpaceDN w:val="0"/>
              <w:adjustRightInd w:val="0"/>
              <w:jc w:val="center"/>
            </w:pPr>
            <w:r w:rsidRPr="00AE3A1B">
              <w:t>0.000</w:t>
            </w:r>
          </w:p>
        </w:tc>
      </w:tr>
    </w:tbl>
    <w:p w14:paraId="1EF936E9" w14:textId="77777777" w:rsidR="00703EF1" w:rsidRPr="00AE3A1B" w:rsidRDefault="00703EF1" w:rsidP="00AE3A1B">
      <w:pPr>
        <w:spacing w:after="0" w:line="240" w:lineRule="auto"/>
        <w:jc w:val="center"/>
        <w:rPr>
          <w:rFonts w:ascii="Times New Roman" w:hAnsi="Times New Roman" w:cs="Times New Roman"/>
          <w:sz w:val="20"/>
          <w:szCs w:val="20"/>
        </w:rPr>
      </w:pPr>
      <w:r w:rsidRPr="00AE3A1B">
        <w:rPr>
          <w:rFonts w:ascii="Times New Roman" w:hAnsi="Times New Roman" w:cs="Times New Roman"/>
          <w:sz w:val="20"/>
          <w:szCs w:val="20"/>
        </w:rPr>
        <w:t>Fonte: Elaborada pelos autores</w:t>
      </w:r>
    </w:p>
    <w:p w14:paraId="12482B19" w14:textId="77777777" w:rsidR="00AE3A1B" w:rsidRDefault="00AE3A1B" w:rsidP="00703EF1">
      <w:pPr>
        <w:spacing w:after="0" w:line="360" w:lineRule="auto"/>
        <w:ind w:firstLine="709"/>
        <w:jc w:val="both"/>
        <w:rPr>
          <w:rFonts w:ascii="Times New Roman" w:hAnsi="Times New Roman" w:cs="Times New Roman"/>
          <w:sz w:val="24"/>
          <w:szCs w:val="24"/>
        </w:rPr>
      </w:pPr>
    </w:p>
    <w:p w14:paraId="59BC590B" w14:textId="642FA134"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Conforme a estatística descrita da variável TI, quase metade (46,67%) das infrações praticadas pelos contabilistas, estavam relacionadas com </w:t>
      </w:r>
      <w:proofErr w:type="gramStart"/>
      <w:r w:rsidRPr="00703EF1">
        <w:rPr>
          <w:rFonts w:ascii="Times New Roman" w:hAnsi="Times New Roman" w:cs="Times New Roman"/>
          <w:sz w:val="24"/>
          <w:szCs w:val="24"/>
        </w:rPr>
        <w:t>elaborar Decore</w:t>
      </w:r>
      <w:proofErr w:type="gramEnd"/>
      <w:r w:rsidRPr="00703EF1">
        <w:rPr>
          <w:rFonts w:ascii="Times New Roman" w:hAnsi="Times New Roman" w:cs="Times New Roman"/>
          <w:sz w:val="24"/>
          <w:szCs w:val="24"/>
        </w:rPr>
        <w:t xml:space="preserve"> para seus clientes sem atender as exigências previstas na Resolução CFC nº 1.403/2012 vigente no período da emissão das declarações e alterada pela atual da Resolução CFC nº 1.592/20. </w:t>
      </w:r>
    </w:p>
    <w:p w14:paraId="29B0D104"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Em relação a variável dependente, ou seja, a multa, a estatística descritiva mostrou que, mais de 93% dos profissionais autuados e julgados culpados, no período, foram multados. As evidências conforme resultado da regressão é de que, se o profissional </w:t>
      </w:r>
      <w:proofErr w:type="gramStart"/>
      <w:r w:rsidRPr="00703EF1">
        <w:rPr>
          <w:rFonts w:ascii="Times New Roman" w:hAnsi="Times New Roman" w:cs="Times New Roman"/>
          <w:sz w:val="24"/>
          <w:szCs w:val="24"/>
        </w:rPr>
        <w:t>emite Decore</w:t>
      </w:r>
      <w:proofErr w:type="gramEnd"/>
      <w:r w:rsidRPr="00703EF1">
        <w:rPr>
          <w:rFonts w:ascii="Times New Roman" w:hAnsi="Times New Roman" w:cs="Times New Roman"/>
          <w:sz w:val="24"/>
          <w:szCs w:val="24"/>
        </w:rPr>
        <w:t xml:space="preserve"> irregular, poderá ser punido com multa. Esse resultado coaduna com o estudo de Krom (2016) e Lima (2022) quando mostra a multa sendo uma das punições disciplinares mais aplicadas aos contadores por ações de má conduta fiscal ou por atestar conduta imprópria ao que estabelece as regras da profissão.</w:t>
      </w:r>
    </w:p>
    <w:p w14:paraId="7F4F4E02"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Parker (1994), ao analisar as infrações e punições aplicadas pelos conselhos de contabilidades australianos verifica que, as multas e as advertências são as punições mais aplicadas. De acordo com Parker (1994), esse comportamento pode revelar uma certa tendência dos conselhos de classe para não aplicar punições que exponham os infratores. O estudo de Lima (2022) mostra que a advertência reservada e a multa no contexto do CRCMT, ou seja, no contexto brasileiro, também sãos as punições mais aplicadas.  Assim, multar esses profissionais e ainda cobrá-los pelas custas dos processos, além de o adverti-los, poderá protegê-lo do escrutínio do público. </w:t>
      </w:r>
    </w:p>
    <w:p w14:paraId="20708E7A"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Nesse sentido, as evidências do presente estudo harmonizam-se com Parker e Lima (1994, 2022), quando revela um número significativo de multas sendo impostas, ainda que a punição mais adequada para a infração cometida, supostamente, poderia ser aquela mais severas, ou seja, a suspensão </w:t>
      </w:r>
      <w:r w:rsidRPr="00703EF1">
        <w:rPr>
          <w:rFonts w:ascii="Times New Roman" w:hAnsi="Times New Roman" w:cs="Times New Roman"/>
          <w:sz w:val="24"/>
          <w:szCs w:val="24"/>
        </w:rPr>
        <w:lastRenderedPageBreak/>
        <w:t>ou cassação do registro profissional. Essas punições achariam apoio, nos termos do artigo 27 do DL 9.295/46 alíneas “d” e “f”, quando estabelece suspensão ou cassação do registro do profissional contabilista por produzir ou atestar informações falsas. Ressalta-se ainda, o que estabelece a NBC PG 01/19, no item 5, letra “p”, para o contexto atual, quando veda o contabilista de fornecer falsas informações ou elaborar peças contábeis inidôneas.</w:t>
      </w:r>
    </w:p>
    <w:p w14:paraId="19169997"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Os estudos que discorrem sobre o tema, são na maioria das vezes trabalhos de conclusão de cursos, logo, poucas são as pesquisas publicadas em periódicos científicos relacionadas a Decore. Entre alguns estudos, André e Di Domenico (2015), revelam que no período de 2007 a 2014, 43,82% das infrações cometidas pelos contabilistas com registro no Conselho Regional de Contabilidade do Rio Grande do Sul (CRCRS), foram referentes a Decore elaboradas de forma irregular ou faltando documentação para sustentação legal. No entanto, os números mostram que as punições mais aplicadas, assim como revelam os estudos internacionais, são as multas e as advertências reservadas. </w:t>
      </w:r>
    </w:p>
    <w:p w14:paraId="130F0356"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O estudo de Alves (2005), podendo ser considerado seminal no contexto </w:t>
      </w:r>
      <w:proofErr w:type="gramStart"/>
      <w:r w:rsidRPr="00703EF1">
        <w:rPr>
          <w:rFonts w:ascii="Times New Roman" w:hAnsi="Times New Roman" w:cs="Times New Roman"/>
          <w:sz w:val="24"/>
          <w:szCs w:val="24"/>
        </w:rPr>
        <w:t>Brasileiro</w:t>
      </w:r>
      <w:proofErr w:type="gramEnd"/>
      <w:r w:rsidRPr="00703EF1">
        <w:rPr>
          <w:rFonts w:ascii="Times New Roman" w:hAnsi="Times New Roman" w:cs="Times New Roman"/>
          <w:sz w:val="24"/>
          <w:szCs w:val="24"/>
        </w:rPr>
        <w:t xml:space="preserve">, ressalta que o julgamento e consequentemente, a aplicação das punições são prerrogativas do Tribunal Regional de Ética e Disciplina (TRED), composto por conselheiros eleitos entre seus pares. Logo, havendo, portanto, a probabilidade de que sejam aplicadas sanções mais brandas ou ainda aquelas mais severas. Isso, porém, pode depender do teor das normativas e/ou da subjetividade presente no processo de julgamento por parte dos conselheiros relatores. </w:t>
      </w:r>
    </w:p>
    <w:p w14:paraId="41FFA6AD"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Se a infração causa notoriedade, as punições mais severas poderão ser adotadas (Krom, 2016). Assim, é possível sinalizar para a sociedade ou ainda para o próprio sistema, que os conselhos detêm o controle dos seus membros. </w:t>
      </w:r>
    </w:p>
    <w:p w14:paraId="07AA09AD"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No entanto, a prática parece ser punir, mas não expô-lo. Nesse contexto, os dados da presente pesquisa revelam que 66,48% dos profissionais punidos foram apenas advertidos, 32,42% censurados reservadamente e apenas 1,1% censurados publicamente. Esse resultado coaduna com </w:t>
      </w:r>
      <w:proofErr w:type="spellStart"/>
      <w:r w:rsidRPr="00703EF1">
        <w:rPr>
          <w:rFonts w:ascii="Times New Roman" w:hAnsi="Times New Roman" w:cs="Times New Roman"/>
          <w:sz w:val="24"/>
          <w:szCs w:val="24"/>
        </w:rPr>
        <w:t>Mescall</w:t>
      </w:r>
      <w:proofErr w:type="spellEnd"/>
      <w:r w:rsidRPr="00703EF1">
        <w:rPr>
          <w:rFonts w:ascii="Times New Roman" w:hAnsi="Times New Roman" w:cs="Times New Roman"/>
          <w:sz w:val="24"/>
          <w:szCs w:val="24"/>
        </w:rPr>
        <w:t xml:space="preserve"> et al., (2017), que ao estudar o comportamento dos profissionais e seus respectivos conselhos de classe no Canadá, mostraram que na grande maioria dos casos, as violações das regras levaram a advertência (95,8%) e multas (88,8%). Assim, é possível inferir que os interesses privados parecem está sempre em primeiro plano em detrimento dos interesses públicos. Mas, conforme </w:t>
      </w:r>
      <w:proofErr w:type="spellStart"/>
      <w:r w:rsidRPr="00703EF1">
        <w:rPr>
          <w:rFonts w:ascii="Times New Roman" w:hAnsi="Times New Roman" w:cs="Times New Roman"/>
          <w:sz w:val="24"/>
          <w:szCs w:val="24"/>
        </w:rPr>
        <w:t>Mescall</w:t>
      </w:r>
      <w:proofErr w:type="spellEnd"/>
      <w:r w:rsidRPr="00703EF1">
        <w:rPr>
          <w:rFonts w:ascii="Times New Roman" w:hAnsi="Times New Roman" w:cs="Times New Roman"/>
          <w:sz w:val="24"/>
          <w:szCs w:val="24"/>
        </w:rPr>
        <w:t xml:space="preserve"> et al., (2017), o equilíbrio entre interesse privado e público pode acontecer dependendo do grau de regulamentação e envolvimento do público interessado nas informações geradas pela profissão.</w:t>
      </w:r>
    </w:p>
    <w:p w14:paraId="2141E89F"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Portanto, conforme as evidências dos estudos revisados e da presente pesquisa, se o contabilista infringir as regras disciplinares, ainda que seja uma infração considerada grave, a exemplo da falsa declaração, haverá maior probabilidade de ser punido com multa, quando a mais adequada seria a </w:t>
      </w:r>
      <w:r w:rsidRPr="00703EF1">
        <w:rPr>
          <w:rFonts w:ascii="Times New Roman" w:hAnsi="Times New Roman" w:cs="Times New Roman"/>
          <w:sz w:val="24"/>
          <w:szCs w:val="24"/>
        </w:rPr>
        <w:lastRenderedPageBreak/>
        <w:t xml:space="preserve">suspensão ou cassação do registro profissional (Parker, 1994; Alves, 2005; </w:t>
      </w:r>
      <w:proofErr w:type="spellStart"/>
      <w:r w:rsidRPr="00703EF1">
        <w:rPr>
          <w:rFonts w:ascii="Times New Roman" w:hAnsi="Times New Roman" w:cs="Times New Roman"/>
          <w:sz w:val="24"/>
          <w:szCs w:val="24"/>
        </w:rPr>
        <w:t>Mescall</w:t>
      </w:r>
      <w:proofErr w:type="spellEnd"/>
      <w:r w:rsidRPr="00703EF1">
        <w:rPr>
          <w:rFonts w:ascii="Times New Roman" w:hAnsi="Times New Roman" w:cs="Times New Roman"/>
          <w:sz w:val="24"/>
          <w:szCs w:val="24"/>
        </w:rPr>
        <w:t xml:space="preserve"> et al., 2017; Lima, 2022). </w:t>
      </w:r>
    </w:p>
    <w:p w14:paraId="7885ED21"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Ao infringir uma norma estabelecida pelo sistema CFC/</w:t>
      </w:r>
      <w:proofErr w:type="spellStart"/>
      <w:r w:rsidRPr="00703EF1">
        <w:rPr>
          <w:rFonts w:ascii="Times New Roman" w:hAnsi="Times New Roman" w:cs="Times New Roman"/>
          <w:sz w:val="24"/>
          <w:szCs w:val="24"/>
        </w:rPr>
        <w:t>CRCs</w:t>
      </w:r>
      <w:proofErr w:type="spellEnd"/>
      <w:r w:rsidRPr="00703EF1">
        <w:rPr>
          <w:rFonts w:ascii="Times New Roman" w:hAnsi="Times New Roman" w:cs="Times New Roman"/>
          <w:sz w:val="24"/>
          <w:szCs w:val="24"/>
        </w:rPr>
        <w:t xml:space="preserve"> e ser punido disciplinarmente o profissional poderá ser submetido ao cumprimento de punições éticas. Dos 390 processos analisados no CRCMT, observou-se que, a punição disciplinar estava sempre acompanhada da punição ética. Nesse caso, a inferência é de que, se uma norma é infringida, a conduta moral pode ter sido violada, assim, independente da gravidade, no mínimo uma advertência parece ser adequada. </w:t>
      </w:r>
    </w:p>
    <w:p w14:paraId="44E7153B"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Esse comportamento demandado pelos conselhos parece revelar uma estratégia de poder no sentido de resguardar a integridade moral do profissional, bem como da própria instituição, confirmando a tendência de proteção do profissional e da profissão conforme ressaltada por Parker (1994). Segundo Foucault (1987), os agentes que compõem a rede de relação irão </w:t>
      </w:r>
      <w:proofErr w:type="gramStart"/>
      <w:r w:rsidRPr="00703EF1">
        <w:rPr>
          <w:rFonts w:ascii="Times New Roman" w:hAnsi="Times New Roman" w:cs="Times New Roman"/>
          <w:sz w:val="24"/>
          <w:szCs w:val="24"/>
        </w:rPr>
        <w:t>agarra-se</w:t>
      </w:r>
      <w:proofErr w:type="gramEnd"/>
      <w:r w:rsidRPr="00703EF1">
        <w:rPr>
          <w:rFonts w:ascii="Times New Roman" w:hAnsi="Times New Roman" w:cs="Times New Roman"/>
          <w:sz w:val="24"/>
          <w:szCs w:val="24"/>
        </w:rPr>
        <w:t xml:space="preserve"> em quaisquer estratégias para mitigar a intensidade do castigo. </w:t>
      </w:r>
    </w:p>
    <w:p w14:paraId="70265737"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No caso em tela, a perda da reputação da profissão em função do descrédito da sociedade nas práticas contábeis desenvolvidas por esses profissionais, poderia ser considerada uma punição muito severa, logo, um custo de difícil recuperação na perspectiva de Srour (2005). Assim, resguardá-la do escrutínio da sociedade por meio do corporativismo, parece ser a prática mais adequada. Nesse contexto, a estratégia por parte dos conselhos é sinalizar para os demais poderes e sociedade que tem o controle dos seus associados e mantém-los sob seu domínio.</w:t>
      </w:r>
    </w:p>
    <w:p w14:paraId="1B44CC09" w14:textId="77777777" w:rsidR="00AE3A1B" w:rsidRDefault="00AE3A1B" w:rsidP="00AE3A1B">
      <w:pPr>
        <w:spacing w:after="0" w:line="360" w:lineRule="auto"/>
        <w:jc w:val="both"/>
        <w:rPr>
          <w:rFonts w:ascii="Times New Roman" w:hAnsi="Times New Roman" w:cs="Times New Roman"/>
          <w:sz w:val="24"/>
          <w:szCs w:val="24"/>
        </w:rPr>
      </w:pPr>
    </w:p>
    <w:p w14:paraId="09ECD092" w14:textId="75AA2470" w:rsidR="00703EF1" w:rsidRPr="00AE3A1B" w:rsidRDefault="00703EF1" w:rsidP="00AE3A1B">
      <w:pPr>
        <w:spacing w:after="0" w:line="360" w:lineRule="auto"/>
        <w:jc w:val="both"/>
        <w:rPr>
          <w:rFonts w:ascii="Times New Roman" w:hAnsi="Times New Roman" w:cs="Times New Roman"/>
          <w:b/>
          <w:bCs/>
          <w:sz w:val="24"/>
          <w:szCs w:val="24"/>
        </w:rPr>
      </w:pPr>
      <w:r w:rsidRPr="00AE3A1B">
        <w:rPr>
          <w:rFonts w:ascii="Times New Roman" w:hAnsi="Times New Roman" w:cs="Times New Roman"/>
          <w:b/>
          <w:bCs/>
          <w:sz w:val="24"/>
          <w:szCs w:val="24"/>
        </w:rPr>
        <w:t>5 CONSIDERAÇÕES FINAIS</w:t>
      </w:r>
    </w:p>
    <w:p w14:paraId="5D0A209E"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O DL 9.295/46 determina que as penalidades ético-disciplinares devem ser impostas aos profissionais contabilistas, em decorrência da infração ao exercício legal da profissão. A partir dessa afirmativa, tem-se a punição como instrumento legal para disciplinar o comportamento do profissional contabilista. O dever de orientar, fiscalizar, autuar e, caso seja necessário punir, cabe aos conselhos regionais de contabilidade, por meio das Câmaras de Fiscalização e do TRED, tendo como base a legislação vigente e normas estabelecidas pelo CFC. No entanto, os estudos revisados mostraram que as punições éticas e disciplinares menos severas, são as mais aplicadas. </w:t>
      </w:r>
    </w:p>
    <w:p w14:paraId="68923459"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Diante disto, o objetivo desse estudo, buscou verificar se o tipo de infração cometida pelo contabilista explica a severidade da punição aplicada. Os resultados mostraram que, para além do tipo de infração, outros fatores podem estar presentes nesse processo. As estratégias que podem ser as mais variadas, entre as quais, se esse profissional exercer suas atividades na forma de pessoa física, empresa individual ou sociedade. Na perspectiva da teoria do poder de Foucault, na rede de relação, os indivíduos irão utilizar todas as estratégias possíveis para mitigar a intensidade da punição. A partir </w:t>
      </w:r>
      <w:r w:rsidRPr="00703EF1">
        <w:rPr>
          <w:rFonts w:ascii="Times New Roman" w:hAnsi="Times New Roman" w:cs="Times New Roman"/>
          <w:sz w:val="24"/>
          <w:szCs w:val="24"/>
        </w:rPr>
        <w:lastRenderedPageBreak/>
        <w:t>dessa perspectiva e observando a tabela 1, o resultado da variável de controle PIS, evidencia menor probabilidade de que o profissional seja punido com multa, ainda que cometa uma infração considerada grave. Ou seja, o sistema busca proteger os pares ainda que esses tenham infringidos as regras estabelecidas.</w:t>
      </w:r>
    </w:p>
    <w:p w14:paraId="4BEF2A33"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Quando se analisa as punições aos contabilistas por elaborar documentos sem a devido cuidado legal, percebe-se a punição ética e disciplinar menos severa sendo aplicada. Logo, o tipo de infração pode não ser especificamente o fator principal que explique os níveis de punições. Alves (2005) ao analisar a punição imposta pelo CFC aos contabilistas por adulteração ou manipulação da escrita ou documentos, verificou que 43,56% dos infratores foram punidos eticamente apenas com advertência. Cabe ressaltar que esse tipo de comportamento quando na esfera criminal (CPB, 2021), o infrator poderia levar uma punição severa. </w:t>
      </w:r>
    </w:p>
    <w:p w14:paraId="3132C7A3"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Portanto, diante dos resultados dessa pesquisa é possível concluir que o tipo de infração, no caso, a Decore irregular, pode ser considerado um fator relevante para explicar a severidade da punição. No entanto, os resultados apontam, também, para um comportamento corporativista quando relevam maior probabilidade para punir com multa (punição disciplinar) seus pares, supostamente, o mais adequado, poderia ser uma punição disciplinar mais severa (suspenção ou até mesma a cassação do registro profissional). </w:t>
      </w:r>
      <w:proofErr w:type="spellStart"/>
      <w:r w:rsidRPr="00703EF1">
        <w:rPr>
          <w:rFonts w:ascii="Times New Roman" w:hAnsi="Times New Roman" w:cs="Times New Roman"/>
          <w:sz w:val="24"/>
          <w:szCs w:val="24"/>
        </w:rPr>
        <w:t>Cahan</w:t>
      </w:r>
      <w:proofErr w:type="spellEnd"/>
      <w:r w:rsidRPr="00703EF1">
        <w:rPr>
          <w:rFonts w:ascii="Times New Roman" w:hAnsi="Times New Roman" w:cs="Times New Roman"/>
          <w:sz w:val="24"/>
          <w:szCs w:val="24"/>
        </w:rPr>
        <w:t xml:space="preserve"> et al. (2016), entendem que as punições mais severas, como maiores multas e suspenção de registros, são importantes instrumentos no processo disciplinar dos profissionais. Porém, pouco utilizados, tendo em vista, sua intensidade. </w:t>
      </w:r>
    </w:p>
    <w:p w14:paraId="04217B48"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O estudo seminal de </w:t>
      </w:r>
      <w:proofErr w:type="spellStart"/>
      <w:r w:rsidRPr="00703EF1">
        <w:rPr>
          <w:rFonts w:ascii="Times New Roman" w:hAnsi="Times New Roman" w:cs="Times New Roman"/>
          <w:sz w:val="24"/>
          <w:szCs w:val="24"/>
        </w:rPr>
        <w:t>Hagan</w:t>
      </w:r>
      <w:proofErr w:type="spellEnd"/>
      <w:r w:rsidRPr="00703EF1">
        <w:rPr>
          <w:rFonts w:ascii="Times New Roman" w:hAnsi="Times New Roman" w:cs="Times New Roman"/>
          <w:sz w:val="24"/>
          <w:szCs w:val="24"/>
        </w:rPr>
        <w:t xml:space="preserve"> e Parker (1985) revela que as sanções deveriam ser proporcionais aos tipos de crimes (infrações). Logo, nessa perspectiva, o mais adequado seria que a condenação por infrações mais simples e mais complexas, fossem estimadas considerando sua magnitude. Portanto, é possível concluir que o tipo de infração pode ser considerado fator relevante para explicar as multas, visto que, diante do conjunto de dados dessa pesquisa, se o profissional elaborar uma Decore irregular e for autuado, a probabilidade de ser punido com multa é maior se comparado com as demais punições disciplinares. </w:t>
      </w:r>
    </w:p>
    <w:p w14:paraId="13831C13" w14:textId="77777777" w:rsidR="00703EF1" w:rsidRPr="00703EF1" w:rsidRDefault="00703EF1" w:rsidP="00703EF1">
      <w:pPr>
        <w:spacing w:after="0" w:line="360" w:lineRule="auto"/>
        <w:ind w:firstLine="709"/>
        <w:jc w:val="both"/>
        <w:rPr>
          <w:rFonts w:ascii="Times New Roman" w:hAnsi="Times New Roman" w:cs="Times New Roman"/>
          <w:sz w:val="24"/>
          <w:szCs w:val="24"/>
        </w:rPr>
      </w:pPr>
      <w:r w:rsidRPr="00703EF1">
        <w:rPr>
          <w:rFonts w:ascii="Times New Roman" w:hAnsi="Times New Roman" w:cs="Times New Roman"/>
          <w:sz w:val="24"/>
          <w:szCs w:val="24"/>
        </w:rPr>
        <w:t xml:space="preserve">Para estudos futuros, há, portanto, a possibilidade de verificar se o tipo de infração pode influenciar no valor da multa aplicada. Visto que conforme Hansen e White (2012), o valor da penalidade pode afetar a decisão do profissional em atestar ou não documentos (declaração) irregulares. </w:t>
      </w:r>
    </w:p>
    <w:p w14:paraId="6C38FE3B" w14:textId="77777777" w:rsidR="00AE3A1B" w:rsidRDefault="00AE3A1B">
      <w:pPr>
        <w:rPr>
          <w:rFonts w:ascii="Times New Roman" w:hAnsi="Times New Roman" w:cs="Times New Roman"/>
          <w:sz w:val="24"/>
          <w:szCs w:val="24"/>
        </w:rPr>
      </w:pPr>
      <w:r>
        <w:rPr>
          <w:rFonts w:ascii="Times New Roman" w:hAnsi="Times New Roman" w:cs="Times New Roman"/>
          <w:sz w:val="24"/>
          <w:szCs w:val="24"/>
        </w:rPr>
        <w:br w:type="page"/>
      </w:r>
    </w:p>
    <w:p w14:paraId="27D8D11B" w14:textId="395425C0" w:rsidR="00703EF1" w:rsidRDefault="00703EF1" w:rsidP="00AE3A1B">
      <w:pPr>
        <w:spacing w:after="0" w:line="240" w:lineRule="auto"/>
        <w:jc w:val="center"/>
        <w:rPr>
          <w:rFonts w:ascii="Times New Roman" w:hAnsi="Times New Roman" w:cs="Times New Roman"/>
          <w:b/>
          <w:bCs/>
          <w:sz w:val="24"/>
          <w:szCs w:val="24"/>
        </w:rPr>
      </w:pPr>
      <w:r w:rsidRPr="00AE3A1B">
        <w:rPr>
          <w:rFonts w:ascii="Times New Roman" w:hAnsi="Times New Roman" w:cs="Times New Roman"/>
          <w:b/>
          <w:bCs/>
          <w:sz w:val="24"/>
          <w:szCs w:val="24"/>
        </w:rPr>
        <w:lastRenderedPageBreak/>
        <w:t>REFERÊNCIAS</w:t>
      </w:r>
    </w:p>
    <w:p w14:paraId="21D43D7D" w14:textId="77777777" w:rsidR="00AE3A1B" w:rsidRPr="00AE3A1B" w:rsidRDefault="00AE3A1B" w:rsidP="00AE3A1B">
      <w:pPr>
        <w:spacing w:after="0" w:line="240" w:lineRule="auto"/>
        <w:jc w:val="center"/>
        <w:rPr>
          <w:rFonts w:ascii="Times New Roman" w:hAnsi="Times New Roman" w:cs="Times New Roman"/>
          <w:b/>
          <w:bCs/>
          <w:sz w:val="24"/>
          <w:szCs w:val="24"/>
        </w:rPr>
      </w:pPr>
    </w:p>
    <w:p w14:paraId="7F8D1098"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ALVES, F. J. S. A adesão do contabilista ao código de ética da sua profissão: um estudo empírico sobre percepções. 2005. Tese (Doutorado em Ciências Contábeis) – Universidade de São Paulo, São Paulo, 2005. Disponível em: http://www.teses.usp.br/teses/disponiveis/12/12136/tde-23012006-103126/en.php. Acesso em: 20 jan. 2024.</w:t>
      </w:r>
    </w:p>
    <w:p w14:paraId="61C2A223" w14:textId="77777777" w:rsidR="00AE3A1B" w:rsidRPr="00AE3A1B" w:rsidRDefault="00AE3A1B" w:rsidP="00AE3A1B">
      <w:pPr>
        <w:spacing w:after="0" w:line="240" w:lineRule="auto"/>
        <w:jc w:val="both"/>
        <w:rPr>
          <w:rFonts w:ascii="Times New Roman" w:hAnsi="Times New Roman" w:cs="Times New Roman"/>
          <w:sz w:val="24"/>
          <w:szCs w:val="24"/>
        </w:rPr>
      </w:pPr>
    </w:p>
    <w:p w14:paraId="02D3007F"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ANDRÉ, F. C.; DI DOMENICO, L. C. Processo de fiscalização da atividade contábil pelo Conselho Regional de Contabilidade do Rio Grande do Sul – CRCRS. 2015. Disponível em: https://www.lume.ufrgs.br/handle/10183/147310. Acesso em: 15 jan. 2021.</w:t>
      </w:r>
    </w:p>
    <w:p w14:paraId="73C6AB33" w14:textId="77777777" w:rsidR="00AE3A1B" w:rsidRPr="00AE3A1B" w:rsidRDefault="00AE3A1B" w:rsidP="00AE3A1B">
      <w:pPr>
        <w:spacing w:after="0" w:line="240" w:lineRule="auto"/>
        <w:jc w:val="both"/>
        <w:rPr>
          <w:rFonts w:ascii="Times New Roman" w:hAnsi="Times New Roman" w:cs="Times New Roman"/>
          <w:sz w:val="24"/>
          <w:szCs w:val="24"/>
        </w:rPr>
      </w:pPr>
    </w:p>
    <w:p w14:paraId="27A2C409"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BÉLANGER, C. H.; LEONARD, V. M.; WARDLEY, L. J. </w:t>
      </w:r>
      <w:proofErr w:type="spellStart"/>
      <w:r w:rsidRPr="00AE3A1B">
        <w:rPr>
          <w:rFonts w:ascii="Times New Roman" w:hAnsi="Times New Roman" w:cs="Times New Roman"/>
          <w:sz w:val="24"/>
          <w:szCs w:val="24"/>
        </w:rPr>
        <w:t>Examining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ethical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behavior</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Ontario </w:t>
      </w:r>
      <w:proofErr w:type="spellStart"/>
      <w:r w:rsidRPr="00AE3A1B">
        <w:rPr>
          <w:rFonts w:ascii="Times New Roman" w:hAnsi="Times New Roman" w:cs="Times New Roman"/>
          <w:sz w:val="24"/>
          <w:szCs w:val="24"/>
        </w:rPr>
        <w:t>auditors</w:t>
      </w:r>
      <w:proofErr w:type="spellEnd"/>
      <w:r w:rsidRPr="00AE3A1B">
        <w:rPr>
          <w:rFonts w:ascii="Times New Roman" w:hAnsi="Times New Roman" w:cs="Times New Roman"/>
          <w:sz w:val="24"/>
          <w:szCs w:val="24"/>
        </w:rPr>
        <w:t xml:space="preserve">: a longitudinal review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disciplinary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process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Journal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&amp; </w:t>
      </w:r>
      <w:proofErr w:type="spellStart"/>
      <w:r w:rsidRPr="00AE3A1B">
        <w:rPr>
          <w:rFonts w:ascii="Times New Roman" w:hAnsi="Times New Roman" w:cs="Times New Roman"/>
          <w:sz w:val="24"/>
          <w:szCs w:val="24"/>
        </w:rPr>
        <w:t>Organizational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Change</w:t>
      </w:r>
      <w:proofErr w:type="spellEnd"/>
      <w:r w:rsidRPr="00AE3A1B">
        <w:rPr>
          <w:rFonts w:ascii="Times New Roman" w:hAnsi="Times New Roman" w:cs="Times New Roman"/>
          <w:sz w:val="24"/>
          <w:szCs w:val="24"/>
        </w:rPr>
        <w:t>, [s. l.], v. 15, n. 3, p. 169–199, 2016. Disponível em: https://onlinelibrary.wiley.com/doi/abs/10.1111/1911-3838.12095. Acesso em: 20 abr. 2024.</w:t>
      </w:r>
    </w:p>
    <w:p w14:paraId="2A474518" w14:textId="77777777" w:rsidR="00AE3A1B" w:rsidRPr="00AE3A1B" w:rsidRDefault="00AE3A1B" w:rsidP="00AE3A1B">
      <w:pPr>
        <w:spacing w:after="0" w:line="240" w:lineRule="auto"/>
        <w:jc w:val="both"/>
        <w:rPr>
          <w:rFonts w:ascii="Times New Roman" w:hAnsi="Times New Roman" w:cs="Times New Roman"/>
          <w:sz w:val="24"/>
          <w:szCs w:val="24"/>
        </w:rPr>
      </w:pPr>
    </w:p>
    <w:p w14:paraId="0B326990"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BERNI, D. C. V.; BOLOGNESI, R. A ética na profissão contábil: uma pesquisa documental. </w:t>
      </w:r>
      <w:proofErr w:type="spellStart"/>
      <w:r w:rsidRPr="00AE3A1B">
        <w:rPr>
          <w:rFonts w:ascii="Times New Roman" w:hAnsi="Times New Roman" w:cs="Times New Roman"/>
          <w:sz w:val="24"/>
          <w:szCs w:val="24"/>
        </w:rPr>
        <w:t>Universitas</w:t>
      </w:r>
      <w:proofErr w:type="spellEnd"/>
      <w:r w:rsidRPr="00AE3A1B">
        <w:rPr>
          <w:rFonts w:ascii="Times New Roman" w:hAnsi="Times New Roman" w:cs="Times New Roman"/>
          <w:sz w:val="24"/>
          <w:szCs w:val="24"/>
        </w:rPr>
        <w:t>, [s. l.], n. 22, 2018. Disponível em: http://www.revistauniversitas.inf.br/index.php/UNIVERSITAS/article/view/323. Acesso em: 20 jan. 2025.</w:t>
      </w:r>
    </w:p>
    <w:p w14:paraId="28086380" w14:textId="77777777" w:rsidR="00AE3A1B" w:rsidRPr="00AE3A1B" w:rsidRDefault="00AE3A1B" w:rsidP="00AE3A1B">
      <w:pPr>
        <w:spacing w:after="0" w:line="240" w:lineRule="auto"/>
        <w:jc w:val="both"/>
        <w:rPr>
          <w:rFonts w:ascii="Times New Roman" w:hAnsi="Times New Roman" w:cs="Times New Roman"/>
          <w:sz w:val="24"/>
          <w:szCs w:val="24"/>
        </w:rPr>
      </w:pPr>
    </w:p>
    <w:p w14:paraId="64DDE317"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BRASIL. Código Penal. Brasília, DF: Senado Federal, 2021. Disponível em: https://www2.senado.leg.br/bdsf/handle/id/585476. Acesso em: 20 maio 2025.</w:t>
      </w:r>
    </w:p>
    <w:p w14:paraId="2F5DCF09" w14:textId="77777777" w:rsidR="00AE3A1B" w:rsidRPr="00AE3A1B" w:rsidRDefault="00AE3A1B" w:rsidP="00AE3A1B">
      <w:pPr>
        <w:spacing w:after="0" w:line="240" w:lineRule="auto"/>
        <w:jc w:val="both"/>
        <w:rPr>
          <w:rFonts w:ascii="Times New Roman" w:hAnsi="Times New Roman" w:cs="Times New Roman"/>
          <w:sz w:val="24"/>
          <w:szCs w:val="24"/>
        </w:rPr>
      </w:pPr>
    </w:p>
    <w:p w14:paraId="3CDC5267"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BRASIL. Decreto-Lei nº 9.295, de 27 de maio de 1946. Cria o Conselho Federal de Contabilidade, define as atribuições do Contador e do Guarda-livros, e dá outras providências. Brasília, DF: Presidência da República, 1946. Disponível em: http://www.planalto.gov.br/ccivil_03/Decreto-Lei/Del9295.htm. Acesso em: 30 nov. 2024.</w:t>
      </w:r>
    </w:p>
    <w:p w14:paraId="6B5213DB" w14:textId="77777777" w:rsidR="00AE3A1B" w:rsidRPr="00AE3A1B" w:rsidRDefault="00AE3A1B" w:rsidP="00AE3A1B">
      <w:pPr>
        <w:spacing w:after="0" w:line="240" w:lineRule="auto"/>
        <w:jc w:val="both"/>
        <w:rPr>
          <w:rFonts w:ascii="Times New Roman" w:hAnsi="Times New Roman" w:cs="Times New Roman"/>
          <w:sz w:val="24"/>
          <w:szCs w:val="24"/>
        </w:rPr>
      </w:pPr>
    </w:p>
    <w:p w14:paraId="46D09B9D"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BRASIL. Lei nº 12.249, de 11 de junho de 2010. Altera dispositivos do Decreto-Lei nº 9.295/1946, entre outros. Disponível em: https://www.planalto.gov.br/ccivil_03/_Ato2007-2010/2010/Lei/L12249.htm#art76. Acesso em: 24 out. 2024.</w:t>
      </w:r>
    </w:p>
    <w:p w14:paraId="4BEEB4F8" w14:textId="77777777" w:rsidR="00AE3A1B" w:rsidRPr="00AE3A1B" w:rsidRDefault="00AE3A1B" w:rsidP="00AE3A1B">
      <w:pPr>
        <w:spacing w:after="0" w:line="240" w:lineRule="auto"/>
        <w:jc w:val="both"/>
        <w:rPr>
          <w:rFonts w:ascii="Times New Roman" w:hAnsi="Times New Roman" w:cs="Times New Roman"/>
          <w:sz w:val="24"/>
          <w:szCs w:val="24"/>
        </w:rPr>
      </w:pPr>
    </w:p>
    <w:p w14:paraId="1FA16D41"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BRASIL. Lei nº 12.527, de 18 de novembro de 2011.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Brasília, DF: Presidência da República, 2011. Disponível em: http://www.planalto.gov.br/ccivil_03/_ato2011-2014/2011/lei/l12527.htm. Acesso em: 20 fev. 2024.</w:t>
      </w:r>
    </w:p>
    <w:p w14:paraId="0EE92451" w14:textId="77777777" w:rsidR="00AE3A1B" w:rsidRPr="00AE3A1B" w:rsidRDefault="00AE3A1B" w:rsidP="00AE3A1B">
      <w:pPr>
        <w:spacing w:after="0" w:line="240" w:lineRule="auto"/>
        <w:jc w:val="both"/>
        <w:rPr>
          <w:rFonts w:ascii="Times New Roman" w:hAnsi="Times New Roman" w:cs="Times New Roman"/>
          <w:sz w:val="24"/>
          <w:szCs w:val="24"/>
        </w:rPr>
      </w:pPr>
    </w:p>
    <w:p w14:paraId="2122F8C4"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CAHAN, S. F.; SUN, J.; XU, J. Individual auditor </w:t>
      </w:r>
      <w:proofErr w:type="spellStart"/>
      <w:r w:rsidRPr="00AE3A1B">
        <w:rPr>
          <w:rFonts w:ascii="Times New Roman" w:hAnsi="Times New Roman" w:cs="Times New Roman"/>
          <w:sz w:val="24"/>
          <w:szCs w:val="24"/>
        </w:rPr>
        <w:t>conservatism</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after</w:t>
      </w:r>
      <w:proofErr w:type="spellEnd"/>
      <w:r w:rsidRPr="00AE3A1B">
        <w:rPr>
          <w:rFonts w:ascii="Times New Roman" w:hAnsi="Times New Roman" w:cs="Times New Roman"/>
          <w:sz w:val="24"/>
          <w:szCs w:val="24"/>
        </w:rPr>
        <w:t xml:space="preserve"> CSRC </w:t>
      </w:r>
      <w:proofErr w:type="spellStart"/>
      <w:r w:rsidRPr="00AE3A1B">
        <w:rPr>
          <w:rFonts w:ascii="Times New Roman" w:hAnsi="Times New Roman" w:cs="Times New Roman"/>
          <w:sz w:val="24"/>
          <w:szCs w:val="24"/>
        </w:rPr>
        <w:t>sanction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Journal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Business </w:t>
      </w:r>
      <w:proofErr w:type="spellStart"/>
      <w:r w:rsidRPr="00AE3A1B">
        <w:rPr>
          <w:rFonts w:ascii="Times New Roman" w:hAnsi="Times New Roman" w:cs="Times New Roman"/>
          <w:sz w:val="24"/>
          <w:szCs w:val="24"/>
        </w:rPr>
        <w:t>Ethics</w:t>
      </w:r>
      <w:proofErr w:type="spellEnd"/>
      <w:r w:rsidRPr="00AE3A1B">
        <w:rPr>
          <w:rFonts w:ascii="Times New Roman" w:hAnsi="Times New Roman" w:cs="Times New Roman"/>
          <w:sz w:val="24"/>
          <w:szCs w:val="24"/>
        </w:rPr>
        <w:t>, [s. l.], v. 136, n. 1, p. 133–146, 2016. Disponível em: https://link.springer.com/article/10.1007/s10551-014-2514-z. Acesso em: 18 maio 2025.</w:t>
      </w:r>
    </w:p>
    <w:p w14:paraId="55AE39AA" w14:textId="77777777" w:rsidR="00AE3A1B" w:rsidRPr="00AE3A1B" w:rsidRDefault="00AE3A1B" w:rsidP="00AE3A1B">
      <w:pPr>
        <w:spacing w:after="0" w:line="240" w:lineRule="auto"/>
        <w:jc w:val="both"/>
        <w:rPr>
          <w:rFonts w:ascii="Times New Roman" w:hAnsi="Times New Roman" w:cs="Times New Roman"/>
          <w:sz w:val="24"/>
          <w:szCs w:val="24"/>
        </w:rPr>
      </w:pPr>
    </w:p>
    <w:p w14:paraId="17E70D05"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CANDIOTTO, C. </w:t>
      </w:r>
      <w:proofErr w:type="spellStart"/>
      <w:r w:rsidRPr="00AE3A1B">
        <w:rPr>
          <w:rFonts w:ascii="Times New Roman" w:hAnsi="Times New Roman" w:cs="Times New Roman"/>
          <w:sz w:val="24"/>
          <w:szCs w:val="24"/>
        </w:rPr>
        <w:t>Ethics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politics</w:t>
      </w:r>
      <w:proofErr w:type="spellEnd"/>
      <w:r w:rsidRPr="00AE3A1B">
        <w:rPr>
          <w:rFonts w:ascii="Times New Roman" w:hAnsi="Times New Roman" w:cs="Times New Roman"/>
          <w:sz w:val="24"/>
          <w:szCs w:val="24"/>
        </w:rPr>
        <w:t xml:space="preserve"> in Michel Foucault. Trans/</w:t>
      </w:r>
      <w:proofErr w:type="spellStart"/>
      <w:r w:rsidRPr="00AE3A1B">
        <w:rPr>
          <w:rFonts w:ascii="Times New Roman" w:hAnsi="Times New Roman" w:cs="Times New Roman"/>
          <w:sz w:val="24"/>
          <w:szCs w:val="24"/>
        </w:rPr>
        <w:t>Form</w:t>
      </w:r>
      <w:proofErr w:type="spellEnd"/>
      <w:r w:rsidRPr="00AE3A1B">
        <w:rPr>
          <w:rFonts w:ascii="Times New Roman" w:hAnsi="Times New Roman" w:cs="Times New Roman"/>
          <w:sz w:val="24"/>
          <w:szCs w:val="24"/>
        </w:rPr>
        <w:t>/Ação, Marília, v. 33, n. 2, p. 157–175, 2010. Disponível em: https://www.scielo.br/scielo.php?pid=S0101-31732010000200010&amp;script=sci_arttext. Acesso em: 28 fev. 2025.</w:t>
      </w:r>
    </w:p>
    <w:p w14:paraId="15EB3FA0" w14:textId="77777777" w:rsidR="00AE3A1B" w:rsidRPr="00AE3A1B" w:rsidRDefault="00AE3A1B" w:rsidP="00AE3A1B">
      <w:pPr>
        <w:spacing w:after="0" w:line="240" w:lineRule="auto"/>
        <w:jc w:val="both"/>
        <w:rPr>
          <w:rFonts w:ascii="Times New Roman" w:hAnsi="Times New Roman" w:cs="Times New Roman"/>
          <w:sz w:val="24"/>
          <w:szCs w:val="24"/>
        </w:rPr>
      </w:pPr>
    </w:p>
    <w:p w14:paraId="7CF4A98C"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lastRenderedPageBreak/>
        <w:t xml:space="preserve">CARNEGIE, G. D.; NAPIER, C. J. </w:t>
      </w:r>
      <w:proofErr w:type="spellStart"/>
      <w:r w:rsidRPr="00AE3A1B">
        <w:rPr>
          <w:rFonts w:ascii="Times New Roman" w:hAnsi="Times New Roman" w:cs="Times New Roman"/>
          <w:sz w:val="24"/>
          <w:szCs w:val="24"/>
        </w:rPr>
        <w:t>Traditional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accountants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business </w:t>
      </w:r>
      <w:proofErr w:type="spellStart"/>
      <w:r w:rsidRPr="00AE3A1B">
        <w:rPr>
          <w:rFonts w:ascii="Times New Roman" w:hAnsi="Times New Roman" w:cs="Times New Roman"/>
          <w:sz w:val="24"/>
          <w:szCs w:val="24"/>
        </w:rPr>
        <w:t>professionals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portraying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profession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after</w:t>
      </w:r>
      <w:proofErr w:type="spellEnd"/>
      <w:r w:rsidRPr="00AE3A1B">
        <w:rPr>
          <w:rFonts w:ascii="Times New Roman" w:hAnsi="Times New Roman" w:cs="Times New Roman"/>
          <w:sz w:val="24"/>
          <w:szCs w:val="24"/>
        </w:rPr>
        <w:t xml:space="preserve"> Enron.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Organizations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Society, [s. l.], v. 35, n. 3, p. 360–376, 2010. Disponível em: https://www.sciencedirect.com/science/article/abs/pii/S0361368209000944. Acesso em: 20 maio 2025.</w:t>
      </w:r>
    </w:p>
    <w:p w14:paraId="51196A8D" w14:textId="77777777" w:rsidR="00AE3A1B" w:rsidRPr="00AE3A1B" w:rsidRDefault="00AE3A1B" w:rsidP="00AE3A1B">
      <w:pPr>
        <w:spacing w:after="0" w:line="240" w:lineRule="auto"/>
        <w:jc w:val="both"/>
        <w:rPr>
          <w:rFonts w:ascii="Times New Roman" w:hAnsi="Times New Roman" w:cs="Times New Roman"/>
          <w:sz w:val="24"/>
          <w:szCs w:val="24"/>
        </w:rPr>
      </w:pPr>
    </w:p>
    <w:p w14:paraId="57198574"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CONSELHO FEDERAL DE CONTABILIDADE (CFC). Resolução nº 2019/NBCPG01, de 7 de fevereiro de 2019. Aprova a NBC PG 01 – Código de Ética do Profissional Contador. Brasília, DF: CFC, 2019. Disponível em: https://www2.cfc.org.br/sisweb/sre/detalhes_sre.aspx?Codigo=2019/NBCPG01&amp;arquivo=NBCPG01.doc. Acesso em: 2 mar. 2025.</w:t>
      </w:r>
    </w:p>
    <w:p w14:paraId="09219201" w14:textId="77777777" w:rsidR="00AE3A1B" w:rsidRPr="00AE3A1B" w:rsidRDefault="00AE3A1B" w:rsidP="00AE3A1B">
      <w:pPr>
        <w:spacing w:after="0" w:line="240" w:lineRule="auto"/>
        <w:jc w:val="both"/>
        <w:rPr>
          <w:rFonts w:ascii="Times New Roman" w:hAnsi="Times New Roman" w:cs="Times New Roman"/>
          <w:sz w:val="24"/>
          <w:szCs w:val="24"/>
        </w:rPr>
      </w:pPr>
    </w:p>
    <w:p w14:paraId="67EAE230"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CONSELHO FEDERAL DE CONTABILIDADE (CFC). Resolução CFC nº 1.592, de 19 de agosto de 2020. Dispõe sobre a emissão da Declaração Comprobatória de Percepção de Rendimentos (DECORE) e revoga a Resolução CFC nº 1.364/2011. Disponível em: https://www.cfc.org.br/resolucoes/Res_1592.pdf. Acesso em: 30 jun. 2025.</w:t>
      </w:r>
    </w:p>
    <w:p w14:paraId="38F443A0" w14:textId="77777777" w:rsidR="00AE3A1B" w:rsidRPr="00AE3A1B" w:rsidRDefault="00AE3A1B" w:rsidP="00AE3A1B">
      <w:pPr>
        <w:spacing w:after="0" w:line="240" w:lineRule="auto"/>
        <w:jc w:val="both"/>
        <w:rPr>
          <w:rFonts w:ascii="Times New Roman" w:hAnsi="Times New Roman" w:cs="Times New Roman"/>
          <w:sz w:val="24"/>
          <w:szCs w:val="24"/>
        </w:rPr>
      </w:pPr>
    </w:p>
    <w:p w14:paraId="7551501B" w14:textId="77777777" w:rsid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CONSELHO FEDERAL DE CONTABILIDADE (CFC). Resolução nº 1.603, de 22 de outubro de 2020. Aprova o Regulamento de Procedimentos Processuais dos Conselhos de Contabilidade, que dispõe sobre os Processos Administrativos de Fiscalização, e dá outras providências. Brasília, DF: CFC, 2020. Disponível em: https://www2.cfc.org.br/sisweb/sre/detalhes_sre.aspx?Codigo=2020/001603&amp;arquivo=Res_1603.doc. Acesso em: 4 jan. 2024.</w:t>
      </w:r>
    </w:p>
    <w:p w14:paraId="49CF54CA" w14:textId="77777777" w:rsidR="00AE3A1B" w:rsidRDefault="00AE3A1B" w:rsidP="00AE3A1B">
      <w:pPr>
        <w:spacing w:after="0" w:line="240" w:lineRule="auto"/>
        <w:jc w:val="both"/>
        <w:rPr>
          <w:rFonts w:ascii="Times New Roman" w:hAnsi="Times New Roman" w:cs="Times New Roman"/>
          <w:sz w:val="24"/>
          <w:szCs w:val="24"/>
        </w:rPr>
      </w:pPr>
    </w:p>
    <w:p w14:paraId="10E7A2B6"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CONSELHO FEDERAL DE CONTABILIDADE (CFC). Resolução nº 1.403, de 10 de agosto de 2012. Altera a Resolução CFC nº 1.364/11 que dispõe sobre a Declaração Comprobatória de Percepção de Rendimentos – DECORE Eletrônica – e dá outras providências. Disponível em: https://www2.cfc.org.br/sisweb/sre/detalhes_sre.aspx?Codigo=2012/001403&amp;arquivo=Res_1403.doc. Acesso em: 14 fev. 2025.</w:t>
      </w:r>
    </w:p>
    <w:p w14:paraId="2159E01C" w14:textId="77777777" w:rsidR="00AE3A1B" w:rsidRPr="00AE3A1B" w:rsidRDefault="00AE3A1B" w:rsidP="00AE3A1B">
      <w:pPr>
        <w:spacing w:after="0" w:line="240" w:lineRule="auto"/>
        <w:jc w:val="both"/>
        <w:rPr>
          <w:rFonts w:ascii="Times New Roman" w:hAnsi="Times New Roman" w:cs="Times New Roman"/>
          <w:sz w:val="24"/>
          <w:szCs w:val="24"/>
        </w:rPr>
      </w:pPr>
    </w:p>
    <w:p w14:paraId="0FF74A4C"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FÁVERO, L. P. L. et al. Métodos quantitativos com </w:t>
      </w:r>
      <w:proofErr w:type="spellStart"/>
      <w:r w:rsidRPr="00AE3A1B">
        <w:rPr>
          <w:rFonts w:ascii="Times New Roman" w:hAnsi="Times New Roman" w:cs="Times New Roman"/>
          <w:sz w:val="24"/>
          <w:szCs w:val="24"/>
        </w:rPr>
        <w:t>Stata</w:t>
      </w:r>
      <w:proofErr w:type="spellEnd"/>
      <w:r w:rsidRPr="00AE3A1B">
        <w:rPr>
          <w:rFonts w:ascii="Times New Roman" w:hAnsi="Times New Roman" w:cs="Times New Roman"/>
          <w:sz w:val="24"/>
          <w:szCs w:val="24"/>
        </w:rPr>
        <w:t>: procedimentos, rotinas, e análises de resultados. 1. ed. Rio de Janeiro: Elsevier, 2014.</w:t>
      </w:r>
    </w:p>
    <w:p w14:paraId="1CE9FAF6" w14:textId="77777777" w:rsidR="00AE3A1B" w:rsidRPr="00AE3A1B" w:rsidRDefault="00AE3A1B" w:rsidP="00AE3A1B">
      <w:pPr>
        <w:spacing w:after="0" w:line="240" w:lineRule="auto"/>
        <w:jc w:val="both"/>
        <w:rPr>
          <w:rFonts w:ascii="Times New Roman" w:hAnsi="Times New Roman" w:cs="Times New Roman"/>
          <w:sz w:val="24"/>
          <w:szCs w:val="24"/>
        </w:rPr>
      </w:pPr>
    </w:p>
    <w:p w14:paraId="574D6F6E"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FEINBERG, J. The </w:t>
      </w:r>
      <w:proofErr w:type="spellStart"/>
      <w:r w:rsidRPr="00AE3A1B">
        <w:rPr>
          <w:rFonts w:ascii="Times New Roman" w:hAnsi="Times New Roman" w:cs="Times New Roman"/>
          <w:sz w:val="24"/>
          <w:szCs w:val="24"/>
        </w:rPr>
        <w:t>expressive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function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punishment</w:t>
      </w:r>
      <w:proofErr w:type="spellEnd"/>
      <w:r w:rsidRPr="00AE3A1B">
        <w:rPr>
          <w:rFonts w:ascii="Times New Roman" w:hAnsi="Times New Roman" w:cs="Times New Roman"/>
          <w:sz w:val="24"/>
          <w:szCs w:val="24"/>
        </w:rPr>
        <w:t xml:space="preserve">. The </w:t>
      </w:r>
      <w:proofErr w:type="spellStart"/>
      <w:r w:rsidRPr="00AE3A1B">
        <w:rPr>
          <w:rFonts w:ascii="Times New Roman" w:hAnsi="Times New Roman" w:cs="Times New Roman"/>
          <w:sz w:val="24"/>
          <w:szCs w:val="24"/>
        </w:rPr>
        <w:t>Monist</w:t>
      </w:r>
      <w:proofErr w:type="spellEnd"/>
      <w:r w:rsidRPr="00AE3A1B">
        <w:rPr>
          <w:rFonts w:ascii="Times New Roman" w:hAnsi="Times New Roman" w:cs="Times New Roman"/>
          <w:sz w:val="24"/>
          <w:szCs w:val="24"/>
        </w:rPr>
        <w:t>, [s. l.], v. 49, n. 3, p. 397–423, 1965. Disponível em: https://www.jstor.org/stable/27901603?seq=1. Acesso em: 16 mar. 2025.</w:t>
      </w:r>
    </w:p>
    <w:p w14:paraId="50B8B46A" w14:textId="77777777" w:rsidR="00AE3A1B" w:rsidRPr="00AE3A1B" w:rsidRDefault="00AE3A1B" w:rsidP="00AE3A1B">
      <w:pPr>
        <w:spacing w:after="0" w:line="240" w:lineRule="auto"/>
        <w:jc w:val="both"/>
        <w:rPr>
          <w:rFonts w:ascii="Times New Roman" w:hAnsi="Times New Roman" w:cs="Times New Roman"/>
          <w:sz w:val="24"/>
          <w:szCs w:val="24"/>
        </w:rPr>
      </w:pPr>
    </w:p>
    <w:p w14:paraId="58EE1E19"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FERREIRA, F. M. S. F. O comportamento ético dos profissionais da contabilidade em Portugal: um estudo exploratório. 2013. Dissertação (Mestrado em Contabilidade) – Universidade do Minho, Braga, 2013. Disponível em: https://repositorium.sdum.uminho.pt/handle/1822/28019. Acesso em: 14 abr. 2024.</w:t>
      </w:r>
    </w:p>
    <w:p w14:paraId="42058BE2" w14:textId="77777777" w:rsidR="00AE3A1B" w:rsidRPr="00AE3A1B" w:rsidRDefault="00AE3A1B" w:rsidP="00AE3A1B">
      <w:pPr>
        <w:spacing w:after="0" w:line="240" w:lineRule="auto"/>
        <w:jc w:val="both"/>
        <w:rPr>
          <w:rFonts w:ascii="Times New Roman" w:hAnsi="Times New Roman" w:cs="Times New Roman"/>
          <w:sz w:val="24"/>
          <w:szCs w:val="24"/>
        </w:rPr>
      </w:pPr>
    </w:p>
    <w:p w14:paraId="69D43F08"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FOUCAULT, M. Histoire de </w:t>
      </w:r>
      <w:proofErr w:type="spellStart"/>
      <w:r w:rsidRPr="00AE3A1B">
        <w:rPr>
          <w:rFonts w:ascii="Times New Roman" w:hAnsi="Times New Roman" w:cs="Times New Roman"/>
          <w:sz w:val="24"/>
          <w:szCs w:val="24"/>
        </w:rPr>
        <w:t>la</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sexualité</w:t>
      </w:r>
      <w:proofErr w:type="spellEnd"/>
      <w:r w:rsidRPr="00AE3A1B">
        <w:rPr>
          <w:rFonts w:ascii="Times New Roman" w:hAnsi="Times New Roman" w:cs="Times New Roman"/>
          <w:sz w:val="24"/>
          <w:szCs w:val="24"/>
        </w:rPr>
        <w:t xml:space="preserve"> I: </w:t>
      </w:r>
      <w:proofErr w:type="spellStart"/>
      <w:r w:rsidRPr="00AE3A1B">
        <w:rPr>
          <w:rFonts w:ascii="Times New Roman" w:hAnsi="Times New Roman" w:cs="Times New Roman"/>
          <w:sz w:val="24"/>
          <w:szCs w:val="24"/>
        </w:rPr>
        <w:t>la</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volonté</w:t>
      </w:r>
      <w:proofErr w:type="spellEnd"/>
      <w:r w:rsidRPr="00AE3A1B">
        <w:rPr>
          <w:rFonts w:ascii="Times New Roman" w:hAnsi="Times New Roman" w:cs="Times New Roman"/>
          <w:sz w:val="24"/>
          <w:szCs w:val="24"/>
        </w:rPr>
        <w:t xml:space="preserve"> de </w:t>
      </w:r>
      <w:proofErr w:type="spellStart"/>
      <w:r w:rsidRPr="00AE3A1B">
        <w:rPr>
          <w:rFonts w:ascii="Times New Roman" w:hAnsi="Times New Roman" w:cs="Times New Roman"/>
          <w:sz w:val="24"/>
          <w:szCs w:val="24"/>
        </w:rPr>
        <w:t>savoir</w:t>
      </w:r>
      <w:proofErr w:type="spellEnd"/>
      <w:r w:rsidRPr="00AE3A1B">
        <w:rPr>
          <w:rFonts w:ascii="Times New Roman" w:hAnsi="Times New Roman" w:cs="Times New Roman"/>
          <w:sz w:val="24"/>
          <w:szCs w:val="24"/>
        </w:rPr>
        <w:t>. Paris: Gallimard, 1976. E-book. Disponível em: https://monoskop.org/images/e/ed/Foucault_Michel_Histoire_de_la_sexualite_1_La_volonte_de_savoir.pdf. Acesso em: 23 jun. 2025.</w:t>
      </w:r>
    </w:p>
    <w:p w14:paraId="0E82FF42" w14:textId="77777777" w:rsidR="00AE3A1B" w:rsidRPr="00AE3A1B" w:rsidRDefault="00AE3A1B" w:rsidP="00AE3A1B">
      <w:pPr>
        <w:spacing w:after="0" w:line="240" w:lineRule="auto"/>
        <w:jc w:val="both"/>
        <w:rPr>
          <w:rFonts w:ascii="Times New Roman" w:hAnsi="Times New Roman" w:cs="Times New Roman"/>
          <w:sz w:val="24"/>
          <w:szCs w:val="24"/>
        </w:rPr>
      </w:pPr>
    </w:p>
    <w:p w14:paraId="5287494A"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FOUCAULT, M. Microfísica do poder. 8. ed. Rio de Janeiro: Edições Graal, 1979.</w:t>
      </w:r>
    </w:p>
    <w:p w14:paraId="2B136C35" w14:textId="77777777" w:rsidR="00AE3A1B" w:rsidRPr="00AE3A1B" w:rsidRDefault="00AE3A1B" w:rsidP="00AE3A1B">
      <w:pPr>
        <w:spacing w:after="0" w:line="240" w:lineRule="auto"/>
        <w:jc w:val="both"/>
        <w:rPr>
          <w:rFonts w:ascii="Times New Roman" w:hAnsi="Times New Roman" w:cs="Times New Roman"/>
          <w:sz w:val="24"/>
          <w:szCs w:val="24"/>
        </w:rPr>
      </w:pPr>
    </w:p>
    <w:p w14:paraId="232AFC4E"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FOUCAULT, M. Vigiar e punir: nascimento da prisão. Petrópolis: Vozes, 1987.</w:t>
      </w:r>
    </w:p>
    <w:p w14:paraId="72264676"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lastRenderedPageBreak/>
        <w:t>FOUCAULT, M. O sujeito e o poder. Rio de Janeiro: Forense Universitária, 1995.</w:t>
      </w:r>
    </w:p>
    <w:p w14:paraId="416A01DF" w14:textId="77777777" w:rsidR="00AE3A1B" w:rsidRPr="00AE3A1B" w:rsidRDefault="00AE3A1B" w:rsidP="00AE3A1B">
      <w:pPr>
        <w:spacing w:after="0" w:line="240" w:lineRule="auto"/>
        <w:jc w:val="both"/>
        <w:rPr>
          <w:rFonts w:ascii="Times New Roman" w:hAnsi="Times New Roman" w:cs="Times New Roman"/>
          <w:sz w:val="24"/>
          <w:szCs w:val="24"/>
        </w:rPr>
      </w:pPr>
    </w:p>
    <w:p w14:paraId="1AD69C29"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GONÇALVES, E. L. N. Análise de 702 denúncias ao Conselho Regional de Medicina de Minas Gerais, no período de 2012 a 2017. 2024. Tese (Doutorado) – Universidade do Porto, Porto, 2024. Disponível em: https://www.proquest.com/openview/4ef49ecacf18e5f4ba639e2e321d3280/1?pq-origsite=gscholar&amp;cbl=2026366&amp;diss=y. Acesso em: 23 mar. 2025.</w:t>
      </w:r>
    </w:p>
    <w:p w14:paraId="363183B2" w14:textId="77777777" w:rsidR="00AE3A1B" w:rsidRPr="00AE3A1B" w:rsidRDefault="00AE3A1B" w:rsidP="00AE3A1B">
      <w:pPr>
        <w:spacing w:after="0" w:line="240" w:lineRule="auto"/>
        <w:jc w:val="both"/>
        <w:rPr>
          <w:rFonts w:ascii="Times New Roman" w:hAnsi="Times New Roman" w:cs="Times New Roman"/>
          <w:sz w:val="24"/>
          <w:szCs w:val="24"/>
        </w:rPr>
      </w:pPr>
    </w:p>
    <w:p w14:paraId="24962359"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HAGAN, J.; PARKER, P. White </w:t>
      </w:r>
      <w:proofErr w:type="spellStart"/>
      <w:r w:rsidRPr="00AE3A1B">
        <w:rPr>
          <w:rFonts w:ascii="Times New Roman" w:hAnsi="Times New Roman" w:cs="Times New Roman"/>
          <w:sz w:val="24"/>
          <w:szCs w:val="24"/>
        </w:rPr>
        <w:t>collar</w:t>
      </w:r>
      <w:proofErr w:type="spellEnd"/>
      <w:r w:rsidRPr="00AE3A1B">
        <w:rPr>
          <w:rFonts w:ascii="Times New Roman" w:hAnsi="Times New Roman" w:cs="Times New Roman"/>
          <w:sz w:val="24"/>
          <w:szCs w:val="24"/>
        </w:rPr>
        <w:t xml:space="preserve"> crime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punishment</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class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structure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legal </w:t>
      </w:r>
      <w:proofErr w:type="spellStart"/>
      <w:r w:rsidRPr="00AE3A1B">
        <w:rPr>
          <w:rFonts w:ascii="Times New Roman" w:hAnsi="Times New Roman" w:cs="Times New Roman"/>
          <w:sz w:val="24"/>
          <w:szCs w:val="24"/>
        </w:rPr>
        <w:t>sanctions</w:t>
      </w:r>
      <w:proofErr w:type="spellEnd"/>
      <w:r w:rsidRPr="00AE3A1B">
        <w:rPr>
          <w:rFonts w:ascii="Times New Roman" w:hAnsi="Times New Roman" w:cs="Times New Roman"/>
          <w:sz w:val="24"/>
          <w:szCs w:val="24"/>
        </w:rPr>
        <w:t xml:space="preserve"> for </w:t>
      </w:r>
      <w:proofErr w:type="spellStart"/>
      <w:r w:rsidRPr="00AE3A1B">
        <w:rPr>
          <w:rFonts w:ascii="Times New Roman" w:hAnsi="Times New Roman" w:cs="Times New Roman"/>
          <w:sz w:val="24"/>
          <w:szCs w:val="24"/>
        </w:rPr>
        <w:t>securities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violations</w:t>
      </w:r>
      <w:proofErr w:type="spellEnd"/>
      <w:r w:rsidRPr="00AE3A1B">
        <w:rPr>
          <w:rFonts w:ascii="Times New Roman" w:hAnsi="Times New Roman" w:cs="Times New Roman"/>
          <w:sz w:val="24"/>
          <w:szCs w:val="24"/>
        </w:rPr>
        <w:t>. Revista Sociológica Americana, p. 302–316, 1985. Disponível em: https://www.jstor.org/stable/2095541?seq=1#metadata_info_tab_contents. Acesso em: 20 jun. 2025.</w:t>
      </w:r>
    </w:p>
    <w:p w14:paraId="2ED6E573" w14:textId="77777777" w:rsidR="00AE3A1B" w:rsidRPr="00AE3A1B" w:rsidRDefault="00AE3A1B" w:rsidP="00AE3A1B">
      <w:pPr>
        <w:spacing w:after="0" w:line="240" w:lineRule="auto"/>
        <w:jc w:val="both"/>
        <w:rPr>
          <w:rFonts w:ascii="Times New Roman" w:hAnsi="Times New Roman" w:cs="Times New Roman"/>
          <w:sz w:val="24"/>
          <w:szCs w:val="24"/>
        </w:rPr>
      </w:pPr>
    </w:p>
    <w:p w14:paraId="052D37A2"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KRUMMENAUER, C. E.; LOCATELLI, L. G. Infrações profissionais do contador: uma análise comparativa considerando a adoção da fiscalização eletrônica pelo CRCRS. Revista Eletrônica do Curso de Ciências Contábeis, v. 9, n. 1, p. 61–92, 2020. Disponível em: http://seer.faccat.br/index.php/contabeis/article/view/1595. Acesso em: 14 fev. 2025.</w:t>
      </w:r>
    </w:p>
    <w:p w14:paraId="32BC06F0" w14:textId="77777777" w:rsidR="00AE3A1B" w:rsidRPr="00AE3A1B" w:rsidRDefault="00AE3A1B" w:rsidP="00AE3A1B">
      <w:pPr>
        <w:spacing w:after="0" w:line="240" w:lineRule="auto"/>
        <w:jc w:val="both"/>
        <w:rPr>
          <w:rFonts w:ascii="Times New Roman" w:hAnsi="Times New Roman" w:cs="Times New Roman"/>
          <w:sz w:val="24"/>
          <w:szCs w:val="24"/>
        </w:rPr>
      </w:pPr>
    </w:p>
    <w:p w14:paraId="7262EACB"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KRUMMENAUER, V. J.; WHITE, R. A. </w:t>
      </w:r>
      <w:proofErr w:type="spellStart"/>
      <w:r w:rsidRPr="00AE3A1B">
        <w:rPr>
          <w:rFonts w:ascii="Times New Roman" w:hAnsi="Times New Roman" w:cs="Times New Roman"/>
          <w:sz w:val="24"/>
          <w:szCs w:val="24"/>
        </w:rPr>
        <w:t>An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investigation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impact</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preparer</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penalty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provisions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tax</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preparer</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aggressiveness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Journal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American </w:t>
      </w:r>
      <w:proofErr w:type="spellStart"/>
      <w:r w:rsidRPr="00AE3A1B">
        <w:rPr>
          <w:rFonts w:ascii="Times New Roman" w:hAnsi="Times New Roman" w:cs="Times New Roman"/>
          <w:sz w:val="24"/>
          <w:szCs w:val="24"/>
        </w:rPr>
        <w:t>Taxation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Association</w:t>
      </w:r>
      <w:proofErr w:type="spellEnd"/>
      <w:r w:rsidRPr="00AE3A1B">
        <w:rPr>
          <w:rFonts w:ascii="Times New Roman" w:hAnsi="Times New Roman" w:cs="Times New Roman"/>
          <w:sz w:val="24"/>
          <w:szCs w:val="24"/>
        </w:rPr>
        <w:t>, [s. l.], v. 34, n. 1, p. 137–165, 2012. Disponível em: https://www.aaajournals.org/doi/abs/10.2308/atax-10183. Acesso em: 14 abr. 2024.</w:t>
      </w:r>
    </w:p>
    <w:p w14:paraId="57D66422" w14:textId="77777777" w:rsidR="00AE3A1B" w:rsidRPr="00AE3A1B" w:rsidRDefault="00AE3A1B" w:rsidP="00AE3A1B">
      <w:pPr>
        <w:spacing w:after="0" w:line="240" w:lineRule="auto"/>
        <w:jc w:val="both"/>
        <w:rPr>
          <w:rFonts w:ascii="Times New Roman" w:hAnsi="Times New Roman" w:cs="Times New Roman"/>
          <w:sz w:val="24"/>
          <w:szCs w:val="24"/>
        </w:rPr>
      </w:pPr>
    </w:p>
    <w:p w14:paraId="56CC45E4"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KROM, C. L. </w:t>
      </w:r>
      <w:proofErr w:type="spellStart"/>
      <w:r w:rsidRPr="00AE3A1B">
        <w:rPr>
          <w:rFonts w:ascii="Times New Roman" w:hAnsi="Times New Roman" w:cs="Times New Roman"/>
          <w:sz w:val="24"/>
          <w:szCs w:val="24"/>
        </w:rPr>
        <w:t>Disciplinary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actions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by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State</w:t>
      </w:r>
      <w:proofErr w:type="spellEnd"/>
      <w:r w:rsidRPr="00AE3A1B">
        <w:rPr>
          <w:rFonts w:ascii="Times New Roman" w:hAnsi="Times New Roman" w:cs="Times New Roman"/>
          <w:sz w:val="24"/>
          <w:szCs w:val="24"/>
        </w:rPr>
        <w:t xml:space="preserve"> Boards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Accountancy</w:t>
      </w:r>
      <w:proofErr w:type="spellEnd"/>
      <w:r w:rsidRPr="00AE3A1B">
        <w:rPr>
          <w:rFonts w:ascii="Times New Roman" w:hAnsi="Times New Roman" w:cs="Times New Roman"/>
          <w:sz w:val="24"/>
          <w:szCs w:val="24"/>
        </w:rPr>
        <w:t xml:space="preserve"> 2008–2014: causes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outcomes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Public</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Interest</w:t>
      </w:r>
      <w:proofErr w:type="spellEnd"/>
      <w:r w:rsidRPr="00AE3A1B">
        <w:rPr>
          <w:rFonts w:ascii="Times New Roman" w:hAnsi="Times New Roman" w:cs="Times New Roman"/>
          <w:sz w:val="24"/>
          <w:szCs w:val="24"/>
        </w:rPr>
        <w:t>, [s. l.], v. 16, n. 1, p. 1–27, 2016. Disponível em: https://www.aaajournals.org/doi/abs/10.2308/apin-51609. Acesso em: 9 fev. 2025.</w:t>
      </w:r>
    </w:p>
    <w:p w14:paraId="75A217FD" w14:textId="77777777" w:rsidR="00AE3A1B" w:rsidRPr="00AE3A1B" w:rsidRDefault="00AE3A1B" w:rsidP="00AE3A1B">
      <w:pPr>
        <w:spacing w:after="0" w:line="240" w:lineRule="auto"/>
        <w:jc w:val="both"/>
        <w:rPr>
          <w:rFonts w:ascii="Times New Roman" w:hAnsi="Times New Roman" w:cs="Times New Roman"/>
          <w:sz w:val="24"/>
          <w:szCs w:val="24"/>
        </w:rPr>
      </w:pPr>
    </w:p>
    <w:p w14:paraId="667F2EC8"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LIMA, J. R. et al. Infrações e penalidades na profissão contábil: um estudo sobre ética no âmbito do conselho regional de contabilidade do Estado de Mato Grosso. </w:t>
      </w:r>
      <w:proofErr w:type="spellStart"/>
      <w:r w:rsidRPr="00AE3A1B">
        <w:rPr>
          <w:rFonts w:ascii="Times New Roman" w:hAnsi="Times New Roman" w:cs="Times New Roman"/>
          <w:sz w:val="24"/>
          <w:szCs w:val="24"/>
        </w:rPr>
        <w:t>Brazilian</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Journal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Development</w:t>
      </w:r>
      <w:proofErr w:type="spellEnd"/>
      <w:r w:rsidRPr="00AE3A1B">
        <w:rPr>
          <w:rFonts w:ascii="Times New Roman" w:hAnsi="Times New Roman" w:cs="Times New Roman"/>
          <w:sz w:val="24"/>
          <w:szCs w:val="24"/>
        </w:rPr>
        <w:t>, v. 8, n. 11, p. 70550–70569, 2022. Disponível em: https://ojs.brazilianjournals.com.br/ojs/index.php/BRJD/article/view/54418. Acesso em: 25 jun. 2025.</w:t>
      </w:r>
    </w:p>
    <w:p w14:paraId="3832A1D2" w14:textId="77777777" w:rsidR="00AE3A1B" w:rsidRPr="00AE3A1B" w:rsidRDefault="00AE3A1B" w:rsidP="00AE3A1B">
      <w:pPr>
        <w:spacing w:after="0" w:line="240" w:lineRule="auto"/>
        <w:jc w:val="both"/>
        <w:rPr>
          <w:rFonts w:ascii="Times New Roman" w:hAnsi="Times New Roman" w:cs="Times New Roman"/>
          <w:sz w:val="24"/>
          <w:szCs w:val="24"/>
        </w:rPr>
      </w:pPr>
    </w:p>
    <w:p w14:paraId="0976D61A"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MESCALL, D.; PHILLIPS, F.; SCHMIDT, R. N. Does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profession</w:t>
      </w:r>
      <w:proofErr w:type="spellEnd"/>
      <w:r w:rsidRPr="00AE3A1B">
        <w:rPr>
          <w:rFonts w:ascii="Times New Roman" w:hAnsi="Times New Roman" w:cs="Times New Roman"/>
          <w:sz w:val="24"/>
          <w:szCs w:val="24"/>
        </w:rPr>
        <w:t xml:space="preserve"> discipline its </w:t>
      </w:r>
      <w:proofErr w:type="spellStart"/>
      <w:r w:rsidRPr="00AE3A1B">
        <w:rPr>
          <w:rFonts w:ascii="Times New Roman" w:hAnsi="Times New Roman" w:cs="Times New Roman"/>
          <w:sz w:val="24"/>
          <w:szCs w:val="24"/>
        </w:rPr>
        <w:t>members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differently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after</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public</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scrutiny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Journal</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Business </w:t>
      </w:r>
      <w:proofErr w:type="spellStart"/>
      <w:r w:rsidRPr="00AE3A1B">
        <w:rPr>
          <w:rFonts w:ascii="Times New Roman" w:hAnsi="Times New Roman" w:cs="Times New Roman"/>
          <w:sz w:val="24"/>
          <w:szCs w:val="24"/>
        </w:rPr>
        <w:t>Ethics</w:t>
      </w:r>
      <w:proofErr w:type="spellEnd"/>
      <w:r w:rsidRPr="00AE3A1B">
        <w:rPr>
          <w:rFonts w:ascii="Times New Roman" w:hAnsi="Times New Roman" w:cs="Times New Roman"/>
          <w:sz w:val="24"/>
          <w:szCs w:val="24"/>
        </w:rPr>
        <w:t>, [s. l.], v. 142, n. 2, p. 285–309, 2017. Disponível em: https://link.springer.com/article/10.1007/s10551-016-3156-0. Acesso em: 28 maio 2025.</w:t>
      </w:r>
    </w:p>
    <w:p w14:paraId="2F004AA2" w14:textId="77777777" w:rsidR="00AE3A1B" w:rsidRPr="00AE3A1B" w:rsidRDefault="00AE3A1B" w:rsidP="00AE3A1B">
      <w:pPr>
        <w:spacing w:after="0" w:line="240" w:lineRule="auto"/>
        <w:jc w:val="both"/>
        <w:rPr>
          <w:rFonts w:ascii="Times New Roman" w:hAnsi="Times New Roman" w:cs="Times New Roman"/>
          <w:sz w:val="24"/>
          <w:szCs w:val="24"/>
        </w:rPr>
      </w:pPr>
    </w:p>
    <w:p w14:paraId="393C029E"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OLIVEIRA, I. C. D. S. D. Determinantes de punibilidade nos processos administrativos de fiscalização no âmbito do Sistema CFC/</w:t>
      </w:r>
      <w:proofErr w:type="spellStart"/>
      <w:r w:rsidRPr="00AE3A1B">
        <w:rPr>
          <w:rFonts w:ascii="Times New Roman" w:hAnsi="Times New Roman" w:cs="Times New Roman"/>
          <w:sz w:val="24"/>
          <w:szCs w:val="24"/>
        </w:rPr>
        <w:t>CRCs</w:t>
      </w:r>
      <w:proofErr w:type="spellEnd"/>
      <w:r w:rsidRPr="00AE3A1B">
        <w:rPr>
          <w:rFonts w:ascii="Times New Roman" w:hAnsi="Times New Roman" w:cs="Times New Roman"/>
          <w:sz w:val="24"/>
          <w:szCs w:val="24"/>
        </w:rPr>
        <w:t>. 2024. Dissertação (Mestrado) – Universidade Federal do Rio Grande do Norte, Natal, 2024.</w:t>
      </w:r>
    </w:p>
    <w:p w14:paraId="4E3D321A" w14:textId="77777777" w:rsidR="00AE3A1B" w:rsidRPr="00AE3A1B" w:rsidRDefault="00AE3A1B" w:rsidP="00AE3A1B">
      <w:pPr>
        <w:spacing w:after="0" w:line="240" w:lineRule="auto"/>
        <w:jc w:val="both"/>
        <w:rPr>
          <w:rFonts w:ascii="Times New Roman" w:hAnsi="Times New Roman" w:cs="Times New Roman"/>
          <w:sz w:val="24"/>
          <w:szCs w:val="24"/>
        </w:rPr>
      </w:pPr>
    </w:p>
    <w:p w14:paraId="1CB7ECF5"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PARKER, L. D. Professional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body </w:t>
      </w:r>
      <w:proofErr w:type="spellStart"/>
      <w:r w:rsidRPr="00AE3A1B">
        <w:rPr>
          <w:rFonts w:ascii="Times New Roman" w:hAnsi="Times New Roman" w:cs="Times New Roman"/>
          <w:sz w:val="24"/>
          <w:szCs w:val="24"/>
        </w:rPr>
        <w:t>ethics</w:t>
      </w:r>
      <w:proofErr w:type="spellEnd"/>
      <w:r w:rsidRPr="00AE3A1B">
        <w:rPr>
          <w:rFonts w:ascii="Times New Roman" w:hAnsi="Times New Roman" w:cs="Times New Roman"/>
          <w:sz w:val="24"/>
          <w:szCs w:val="24"/>
        </w:rPr>
        <w:t xml:space="preserve">: in </w:t>
      </w:r>
      <w:proofErr w:type="spellStart"/>
      <w:r w:rsidRPr="00AE3A1B">
        <w:rPr>
          <w:rFonts w:ascii="Times New Roman" w:hAnsi="Times New Roman" w:cs="Times New Roman"/>
          <w:sz w:val="24"/>
          <w:szCs w:val="24"/>
        </w:rPr>
        <w:t>search</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private</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interest</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Organizations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Society, [s. l.], v. 19, n. 6, p. 507–525, 1994. Disponível em: https://www.sciencedirect.com/science/article/abs/pii/0361368294900213. Acesso em: 3 abr. 2025.</w:t>
      </w:r>
    </w:p>
    <w:p w14:paraId="570A40DA" w14:textId="77777777" w:rsidR="00AE3A1B" w:rsidRPr="00AE3A1B" w:rsidRDefault="00AE3A1B" w:rsidP="00AE3A1B">
      <w:pPr>
        <w:spacing w:after="0" w:line="240" w:lineRule="auto"/>
        <w:jc w:val="both"/>
        <w:rPr>
          <w:rFonts w:ascii="Times New Roman" w:hAnsi="Times New Roman" w:cs="Times New Roman"/>
          <w:sz w:val="24"/>
          <w:szCs w:val="24"/>
        </w:rPr>
      </w:pPr>
    </w:p>
    <w:p w14:paraId="3F66E0D5"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PEREIRA, L. D. A. A advocacia como empresa: novas tecnologias, perspectivas e desafios. In: SILVA, 24. Disponível em: https://experteditora.com.br/wp-content/uploads/2023/03/A-ADVOCACIA-COMO-EMPRESA-Novas-tecnologias-perspectivas-e-desafios.pdf. Acesso em: 14 jun. 2025.</w:t>
      </w:r>
    </w:p>
    <w:p w14:paraId="68CC2BF6" w14:textId="77777777" w:rsidR="00AE3A1B" w:rsidRPr="00AE3A1B" w:rsidRDefault="00AE3A1B" w:rsidP="00AE3A1B">
      <w:pPr>
        <w:spacing w:after="0" w:line="240" w:lineRule="auto"/>
        <w:jc w:val="both"/>
        <w:rPr>
          <w:rFonts w:ascii="Times New Roman" w:hAnsi="Times New Roman" w:cs="Times New Roman"/>
          <w:sz w:val="24"/>
          <w:szCs w:val="24"/>
        </w:rPr>
      </w:pPr>
    </w:p>
    <w:p w14:paraId="7BBF5B5F"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SROUR, R. H. Poder, cultura e ética nas organizações: o desafio das formas de gestão. 13. ed. Rio de Janeiro: Elsevier, 2005.</w:t>
      </w:r>
    </w:p>
    <w:p w14:paraId="5539E804" w14:textId="77777777" w:rsidR="00AE3A1B" w:rsidRPr="00AE3A1B"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lastRenderedPageBreak/>
        <w:t>STOHR, C. P. et al. Infrações ao Código de Ética Profissional do Contador: análise de dados secundários. In: XVI Mostra de Iniciação Científica, Pós-graduação, Pesquisa e Extensão, 2016. Disponível em: https://www.researchgate.net/profile/Alex-Eckert-3/publication/326336748_Infracoes_ao_Codigo_de_Etica_Profissional_do_Contador_analise_de_dados_secundarios. Acesso em: 20 mar. 2025.</w:t>
      </w:r>
    </w:p>
    <w:p w14:paraId="2986D093" w14:textId="77777777" w:rsidR="00AE3A1B" w:rsidRPr="00AE3A1B" w:rsidRDefault="00AE3A1B" w:rsidP="00AE3A1B">
      <w:pPr>
        <w:spacing w:after="0" w:line="240" w:lineRule="auto"/>
        <w:jc w:val="both"/>
        <w:rPr>
          <w:rFonts w:ascii="Times New Roman" w:hAnsi="Times New Roman" w:cs="Times New Roman"/>
          <w:sz w:val="24"/>
          <w:szCs w:val="24"/>
        </w:rPr>
      </w:pPr>
    </w:p>
    <w:p w14:paraId="384D59FD" w14:textId="33FC5931" w:rsidR="00703EF1" w:rsidRPr="00703EF1" w:rsidRDefault="00AE3A1B" w:rsidP="00AE3A1B">
      <w:pPr>
        <w:spacing w:after="0" w:line="240" w:lineRule="auto"/>
        <w:jc w:val="both"/>
        <w:rPr>
          <w:rFonts w:ascii="Times New Roman" w:hAnsi="Times New Roman" w:cs="Times New Roman"/>
          <w:sz w:val="24"/>
          <w:szCs w:val="24"/>
        </w:rPr>
      </w:pPr>
      <w:r w:rsidRPr="00AE3A1B">
        <w:rPr>
          <w:rFonts w:ascii="Times New Roman" w:hAnsi="Times New Roman" w:cs="Times New Roman"/>
          <w:sz w:val="24"/>
          <w:szCs w:val="24"/>
        </w:rPr>
        <w:t xml:space="preserve">WALKER, S. P. </w:t>
      </w:r>
      <w:proofErr w:type="spellStart"/>
      <w:r w:rsidRPr="00AE3A1B">
        <w:rPr>
          <w:rFonts w:ascii="Times New Roman" w:hAnsi="Times New Roman" w:cs="Times New Roman"/>
          <w:sz w:val="24"/>
          <w:szCs w:val="24"/>
        </w:rPr>
        <w:t>Revisiting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the</w:t>
      </w:r>
      <w:proofErr w:type="spellEnd"/>
      <w:r w:rsidRPr="00AE3A1B">
        <w:rPr>
          <w:rFonts w:ascii="Times New Roman" w:hAnsi="Times New Roman" w:cs="Times New Roman"/>
          <w:sz w:val="24"/>
          <w:szCs w:val="24"/>
        </w:rPr>
        <w:t xml:space="preserve"> roles </w:t>
      </w:r>
      <w:proofErr w:type="spellStart"/>
      <w:r w:rsidRPr="00AE3A1B">
        <w:rPr>
          <w:rFonts w:ascii="Times New Roman" w:hAnsi="Times New Roman" w:cs="Times New Roman"/>
          <w:sz w:val="24"/>
          <w:szCs w:val="24"/>
        </w:rPr>
        <w:t>of</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in </w:t>
      </w:r>
      <w:proofErr w:type="spellStart"/>
      <w:r w:rsidRPr="00AE3A1B">
        <w:rPr>
          <w:rFonts w:ascii="Times New Roman" w:hAnsi="Times New Roman" w:cs="Times New Roman"/>
          <w:sz w:val="24"/>
          <w:szCs w:val="24"/>
        </w:rPr>
        <w:t>society</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Accounting</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Organizations</w:t>
      </w:r>
      <w:proofErr w:type="spellEnd"/>
      <w:r w:rsidRPr="00AE3A1B">
        <w:rPr>
          <w:rFonts w:ascii="Times New Roman" w:hAnsi="Times New Roman" w:cs="Times New Roman"/>
          <w:sz w:val="24"/>
          <w:szCs w:val="24"/>
        </w:rPr>
        <w:t xml:space="preserve"> </w:t>
      </w:r>
      <w:proofErr w:type="spellStart"/>
      <w:r w:rsidRPr="00AE3A1B">
        <w:rPr>
          <w:rFonts w:ascii="Times New Roman" w:hAnsi="Times New Roman" w:cs="Times New Roman"/>
          <w:sz w:val="24"/>
          <w:szCs w:val="24"/>
        </w:rPr>
        <w:t>and</w:t>
      </w:r>
      <w:proofErr w:type="spellEnd"/>
      <w:r w:rsidRPr="00AE3A1B">
        <w:rPr>
          <w:rFonts w:ascii="Times New Roman" w:hAnsi="Times New Roman" w:cs="Times New Roman"/>
          <w:sz w:val="24"/>
          <w:szCs w:val="24"/>
        </w:rPr>
        <w:t xml:space="preserve"> Society, [s. l.], v. 49, p. 41–50, 2016. Disponível em: https://www.sciencedirect.com/science/article/abs/pii/S0361368215300064. Acesso em: 20 jun. 2025.</w:t>
      </w:r>
    </w:p>
    <w:sectPr w:rsidR="00703EF1" w:rsidRPr="00703EF1" w:rsidSect="00AE3A1B">
      <w:type w:val="continuous"/>
      <w:pgSz w:w="11906" w:h="16838"/>
      <w:pgMar w:top="1985" w:right="1077" w:bottom="1077" w:left="1077" w:header="737" w:footer="709" w:gutter="0"/>
      <w:pgNumType w:start="372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44D8" w14:textId="77777777" w:rsidR="00A668D3" w:rsidRDefault="00A668D3" w:rsidP="00BE6C76">
      <w:pPr>
        <w:spacing w:after="0" w:line="240" w:lineRule="auto"/>
      </w:pPr>
      <w:r>
        <w:separator/>
      </w:r>
    </w:p>
  </w:endnote>
  <w:endnote w:type="continuationSeparator" w:id="0">
    <w:p w14:paraId="464CCF0C" w14:textId="77777777" w:rsidR="00A668D3" w:rsidRDefault="00A668D3"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65B33790" w:rsidR="002C64B5" w:rsidRDefault="00D05562">
    <w:pPr>
      <w:pStyle w:val="Rodap"/>
    </w:pPr>
    <w:r>
      <w:rPr>
        <w:noProof/>
        <w:lang w:eastAsia="pt-BR"/>
      </w:rPr>
      <mc:AlternateContent>
        <mc:Choice Requires="wps">
          <w:drawing>
            <wp:anchor distT="45720" distB="45720" distL="114300" distR="114300" simplePos="0" relativeHeight="251682816" behindDoc="0" locked="0" layoutInCell="1" allowOverlap="1" wp14:anchorId="51BE80D6" wp14:editId="1326CF0F">
              <wp:simplePos x="0" y="0"/>
              <wp:positionH relativeFrom="page">
                <wp:align>right</wp:align>
              </wp:positionH>
              <wp:positionV relativeFrom="paragraph">
                <wp:posOffset>206375</wp:posOffset>
              </wp:positionV>
              <wp:extent cx="523875" cy="333375"/>
              <wp:effectExtent l="0" t="0" r="0" b="0"/>
              <wp:wrapNone/>
              <wp:docPr id="1762888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33375"/>
                      </a:xfrm>
                      <a:prstGeom prst="rect">
                        <a:avLst/>
                      </a:prstGeom>
                      <a:noFill/>
                      <a:ln w="9525">
                        <a:noFill/>
                        <a:miter lim="800000"/>
                        <a:headEnd/>
                        <a:tailEnd/>
                      </a:ln>
                    </wps:spPr>
                    <wps:txbx>
                      <w:txbxContent>
                        <w:p w14:paraId="4684F428" w14:textId="6DB5776B" w:rsidR="00B119ED" w:rsidRPr="00D05562" w:rsidRDefault="00EF4FFC" w:rsidP="00B119ED">
                          <w:pPr>
                            <w:jc w:val="center"/>
                            <w:rPr>
                              <w:rFonts w:ascii="Times New Roman" w:hAnsi="Times New Roman" w:cs="Times New Roman"/>
                              <w:color w:val="FFC000" w:themeColor="accent4"/>
                            </w:rPr>
                          </w:pPr>
                          <w:r w:rsidRPr="00EF4FFC">
                            <w:rPr>
                              <w:rFonts w:ascii="Times New Roman" w:hAnsi="Times New Roman" w:cs="Times New Roman"/>
                            </w:rPr>
                            <w:fldChar w:fldCharType="begin"/>
                          </w:r>
                          <w:r w:rsidRPr="00EF4FFC">
                            <w:rPr>
                              <w:rFonts w:ascii="Times New Roman" w:hAnsi="Times New Roman" w:cs="Times New Roman"/>
                            </w:rPr>
                            <w:instrText>PAGE   \* MERGEFORMAT</w:instrText>
                          </w:r>
                          <w:r w:rsidRPr="00EF4FFC">
                            <w:rPr>
                              <w:rFonts w:ascii="Times New Roman" w:hAnsi="Times New Roman" w:cs="Times New Roman"/>
                            </w:rPr>
                            <w:fldChar w:fldCharType="separate"/>
                          </w:r>
                          <w:r w:rsidRPr="00EF4FFC">
                            <w:rPr>
                              <w:rFonts w:ascii="Times New Roman" w:hAnsi="Times New Roman" w:cs="Times New Roman"/>
                            </w:rPr>
                            <w:t>1</w:t>
                          </w:r>
                          <w:r w:rsidRPr="00EF4FFC">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E80D6" id="_x0000_t202" coordsize="21600,21600" o:spt="202" path="m,l,21600r21600,l21600,xe">
              <v:stroke joinstyle="miter"/>
              <v:path gradientshapeok="t" o:connecttype="rect"/>
            </v:shapetype>
            <v:shape id="Caixa de Texto 2" o:spid="_x0000_s1026" type="#_x0000_t202" style="position:absolute;margin-left:-9.95pt;margin-top:16.25pt;width:41.25pt;height:26.25pt;z-index:2516828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" filled="f" stroked="f">
              <v:textbox>
                <w:txbxContent>
                  <w:p w14:paraId="4684F428" w14:textId="6DB5776B" w:rsidR="00B119ED" w:rsidRPr="00D05562" w:rsidRDefault="00EF4FFC" w:rsidP="00B119ED">
                    <w:pPr>
                      <w:jc w:val="center"/>
                      <w:rPr>
                        <w:rFonts w:ascii="Times New Roman" w:hAnsi="Times New Roman" w:cs="Times New Roman"/>
                        <w:color w:val="FFC000" w:themeColor="accent4"/>
                      </w:rPr>
                    </w:pPr>
                    <w:r w:rsidRPr="00EF4FFC">
                      <w:rPr>
                        <w:rFonts w:ascii="Times New Roman" w:hAnsi="Times New Roman" w:cs="Times New Roman"/>
                      </w:rPr>
                      <w:fldChar w:fldCharType="begin"/>
                    </w:r>
                    <w:r w:rsidRPr="00EF4FFC">
                      <w:rPr>
                        <w:rFonts w:ascii="Times New Roman" w:hAnsi="Times New Roman" w:cs="Times New Roman"/>
                      </w:rPr>
                      <w:instrText>PAGE   \* MERGEFORMAT</w:instrText>
                    </w:r>
                    <w:r w:rsidRPr="00EF4FFC">
                      <w:rPr>
                        <w:rFonts w:ascii="Times New Roman" w:hAnsi="Times New Roman" w:cs="Times New Roman"/>
                      </w:rPr>
                      <w:fldChar w:fldCharType="separate"/>
                    </w:r>
                    <w:r w:rsidRPr="00EF4FFC">
                      <w:rPr>
                        <w:rFonts w:ascii="Times New Roman" w:hAnsi="Times New Roman" w:cs="Times New Roman"/>
                      </w:rPr>
                      <w:t>1</w:t>
                    </w:r>
                    <w:r w:rsidRPr="00EF4FFC">
                      <w:rPr>
                        <w:rFonts w:ascii="Times New Roman" w:hAnsi="Times New Roman" w:cs="Times New Roman"/>
                      </w:rPr>
                      <w:fldChar w:fldCharType="end"/>
                    </w:r>
                  </w:p>
                </w:txbxContent>
              </v:textbox>
              <w10:wrap anchorx="page"/>
            </v:shape>
          </w:pict>
        </mc:Fallback>
      </mc:AlternateContent>
    </w:r>
    <w:r>
      <w:rPr>
        <w:noProof/>
        <w:lang w:eastAsia="pt-BR"/>
      </w:rPr>
      <mc:AlternateContent>
        <mc:Choice Requires="wps">
          <w:drawing>
            <wp:anchor distT="0" distB="0" distL="114300" distR="114300" simplePos="0" relativeHeight="251685888" behindDoc="0" locked="0" layoutInCell="1" allowOverlap="1" wp14:anchorId="1E1F0DAB" wp14:editId="31D6D0DF">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0A89263A" w:rsidR="00D05562" w:rsidRPr="00EF7BFF" w:rsidRDefault="00D05562" w:rsidP="00AE3A1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w:t>
                          </w:r>
                          <w:r w:rsidR="00EF4FFC">
                            <w:rPr>
                              <w:rFonts w:ascii="Times New Roman" w:hAnsi="Times New Roman" w:cs="Times New Roman"/>
                              <w:sz w:val="20"/>
                              <w:szCs w:val="20"/>
                            </w:rPr>
                            <w:t xml:space="preserve">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sidR="00EF4FFC" w:rsidRPr="00EF4FFC">
                            <w:rPr>
                              <w:rFonts w:ascii="Times New Roman" w:hAnsi="Times New Roman" w:cs="Times New Roman"/>
                              <w:sz w:val="20"/>
                              <w:szCs w:val="20"/>
                            </w:rPr>
                            <w:t>v.7, n.7, p.</w:t>
                          </w:r>
                          <w:r w:rsidR="00AE3A1B" w:rsidRPr="00AE3A1B">
                            <w:t xml:space="preserve"> </w:t>
                          </w:r>
                          <w:r w:rsidR="00AE3A1B" w:rsidRPr="00AE3A1B">
                            <w:rPr>
                              <w:rFonts w:ascii="Times New Roman" w:hAnsi="Times New Roman" w:cs="Times New Roman"/>
                              <w:sz w:val="20"/>
                              <w:szCs w:val="20"/>
                            </w:rPr>
                            <w:t>37255</w:t>
                          </w:r>
                          <w:r w:rsidR="00AE3A1B">
                            <w:rPr>
                              <w:rFonts w:ascii="Times New Roman" w:hAnsi="Times New Roman" w:cs="Times New Roman"/>
                              <w:sz w:val="20"/>
                              <w:szCs w:val="20"/>
                            </w:rPr>
                            <w:t>-</w:t>
                          </w:r>
                          <w:r w:rsidR="00AE3A1B" w:rsidRPr="00AE3A1B">
                            <w:rPr>
                              <w:rFonts w:ascii="Times New Roman" w:hAnsi="Times New Roman" w:cs="Times New Roman"/>
                              <w:sz w:val="20"/>
                              <w:szCs w:val="20"/>
                            </w:rPr>
                            <w:t>37269</w:t>
                          </w:r>
                          <w:r w:rsidR="00EF4FFC" w:rsidRPr="00EF4FFC">
                            <w:rPr>
                              <w:rFonts w:ascii="Times New Roman" w:hAnsi="Times New Roman" w:cs="Times New Roman"/>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0DAB" id="_x0000_s1027" type="#_x0000_t202"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0A89263A" w:rsidR="00D05562" w:rsidRPr="00EF7BFF" w:rsidRDefault="00D05562" w:rsidP="00AE3A1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w:t>
                    </w:r>
                    <w:r w:rsidR="00EF4FFC">
                      <w:rPr>
                        <w:rFonts w:ascii="Times New Roman" w:hAnsi="Times New Roman" w:cs="Times New Roman"/>
                        <w:sz w:val="20"/>
                        <w:szCs w:val="20"/>
                      </w:rPr>
                      <w:t xml:space="preserve">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sidR="00EF4FFC" w:rsidRPr="00EF4FFC">
                      <w:rPr>
                        <w:rFonts w:ascii="Times New Roman" w:hAnsi="Times New Roman" w:cs="Times New Roman"/>
                        <w:sz w:val="20"/>
                        <w:szCs w:val="20"/>
                      </w:rPr>
                      <w:t>v.7, n.7, p.</w:t>
                    </w:r>
                    <w:r w:rsidR="00AE3A1B" w:rsidRPr="00AE3A1B">
                      <w:t xml:space="preserve"> </w:t>
                    </w:r>
                    <w:r w:rsidR="00AE3A1B" w:rsidRPr="00AE3A1B">
                      <w:rPr>
                        <w:rFonts w:ascii="Times New Roman" w:hAnsi="Times New Roman" w:cs="Times New Roman"/>
                        <w:sz w:val="20"/>
                        <w:szCs w:val="20"/>
                      </w:rPr>
                      <w:t>37255</w:t>
                    </w:r>
                    <w:r w:rsidR="00AE3A1B">
                      <w:rPr>
                        <w:rFonts w:ascii="Times New Roman" w:hAnsi="Times New Roman" w:cs="Times New Roman"/>
                        <w:sz w:val="20"/>
                        <w:szCs w:val="20"/>
                      </w:rPr>
                      <w:t>-</w:t>
                    </w:r>
                    <w:r w:rsidR="00AE3A1B" w:rsidRPr="00AE3A1B">
                      <w:rPr>
                        <w:rFonts w:ascii="Times New Roman" w:hAnsi="Times New Roman" w:cs="Times New Roman"/>
                        <w:sz w:val="20"/>
                        <w:szCs w:val="20"/>
                      </w:rPr>
                      <w:t>37269</w:t>
                    </w:r>
                    <w:r w:rsidR="00EF4FFC" w:rsidRPr="00EF4FFC">
                      <w:rPr>
                        <w:rFonts w:ascii="Times New Roman" w:hAnsi="Times New Roman" w:cs="Times New Roman"/>
                        <w:sz w:val="20"/>
                        <w:szCs w:val="20"/>
                      </w:rPr>
                      <w:t>, 2025</w:t>
                    </w:r>
                  </w:p>
                </w:txbxContent>
              </v:textbox>
            </v:shape>
          </w:pict>
        </mc:Fallback>
      </mc:AlternateContent>
    </w:r>
    <w:r>
      <w:rPr>
        <w:rFonts w:ascii="Times New Roman" w:hAnsi="Times New Roman" w:cs="Times New Roman"/>
        <w:noProof/>
        <w:lang w:eastAsia="pt-BR"/>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AA5B" id="Conector Reto 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D421" w14:textId="77777777" w:rsidR="00A668D3" w:rsidRDefault="00A668D3" w:rsidP="00BE6C76">
      <w:pPr>
        <w:spacing w:after="0" w:line="240" w:lineRule="auto"/>
      </w:pPr>
      <w:r>
        <w:separator/>
      </w:r>
    </w:p>
  </w:footnote>
  <w:footnote w:type="continuationSeparator" w:id="0">
    <w:p w14:paraId="1886E065" w14:textId="77777777" w:rsidR="00A668D3" w:rsidRDefault="00A668D3"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lang w:eastAsia="pt-BR"/>
      </w:rPr>
      <w:drawing>
        <wp:anchor distT="0" distB="0" distL="114300" distR="114300" simplePos="0" relativeHeight="251683840"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3351857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lang w:eastAsia="pt-BR"/>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812635158"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340669234">
    <w:abstractNumId w:val="1"/>
  </w:num>
  <w:num w:numId="2" w16cid:durableId="525099874">
    <w:abstractNumId w:val="3"/>
  </w:num>
  <w:num w:numId="3" w16cid:durableId="918245660">
    <w:abstractNumId w:val="0"/>
  </w:num>
  <w:num w:numId="4" w16cid:durableId="583221014">
    <w:abstractNumId w:val="6"/>
  </w:num>
  <w:num w:numId="5" w16cid:durableId="264314326">
    <w:abstractNumId w:val="16"/>
  </w:num>
  <w:num w:numId="6" w16cid:durableId="496458924">
    <w:abstractNumId w:val="23"/>
  </w:num>
  <w:num w:numId="7" w16cid:durableId="942877489">
    <w:abstractNumId w:val="8"/>
  </w:num>
  <w:num w:numId="8" w16cid:durableId="668993906">
    <w:abstractNumId w:val="15"/>
  </w:num>
  <w:num w:numId="9" w16cid:durableId="2116779702">
    <w:abstractNumId w:val="14"/>
  </w:num>
  <w:num w:numId="10" w16cid:durableId="1876234308">
    <w:abstractNumId w:val="5"/>
  </w:num>
  <w:num w:numId="11" w16cid:durableId="163788089">
    <w:abstractNumId w:val="2"/>
  </w:num>
  <w:num w:numId="12" w16cid:durableId="1837724570">
    <w:abstractNumId w:val="9"/>
  </w:num>
  <w:num w:numId="13" w16cid:durableId="2119984668">
    <w:abstractNumId w:val="4"/>
  </w:num>
  <w:num w:numId="14" w16cid:durableId="2101560346">
    <w:abstractNumId w:val="19"/>
  </w:num>
  <w:num w:numId="15" w16cid:durableId="1735735581">
    <w:abstractNumId w:val="13"/>
  </w:num>
  <w:num w:numId="16" w16cid:durableId="276718284">
    <w:abstractNumId w:val="20"/>
  </w:num>
  <w:num w:numId="17" w16cid:durableId="734088654">
    <w:abstractNumId w:val="18"/>
  </w:num>
  <w:num w:numId="18" w16cid:durableId="430513973">
    <w:abstractNumId w:val="22"/>
  </w:num>
  <w:num w:numId="19" w16cid:durableId="1381396332">
    <w:abstractNumId w:val="17"/>
  </w:num>
  <w:num w:numId="20" w16cid:durableId="748700319">
    <w:abstractNumId w:val="21"/>
  </w:num>
  <w:num w:numId="21" w16cid:durableId="719943374">
    <w:abstractNumId w:val="7"/>
  </w:num>
  <w:num w:numId="22" w16cid:durableId="1962760479">
    <w:abstractNumId w:val="11"/>
  </w:num>
  <w:num w:numId="23" w16cid:durableId="1612661755">
    <w:abstractNumId w:val="10"/>
  </w:num>
  <w:num w:numId="24" w16cid:durableId="144398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76"/>
    <w:rsid w:val="00003167"/>
    <w:rsid w:val="00010CDF"/>
    <w:rsid w:val="00014325"/>
    <w:rsid w:val="00031C6D"/>
    <w:rsid w:val="0003415A"/>
    <w:rsid w:val="00072E9F"/>
    <w:rsid w:val="00086436"/>
    <w:rsid w:val="000876F5"/>
    <w:rsid w:val="000A0B9E"/>
    <w:rsid w:val="000A56FB"/>
    <w:rsid w:val="000A6306"/>
    <w:rsid w:val="000B551B"/>
    <w:rsid w:val="000B564A"/>
    <w:rsid w:val="000C7861"/>
    <w:rsid w:val="000D1454"/>
    <w:rsid w:val="000D3A33"/>
    <w:rsid w:val="000D6E0D"/>
    <w:rsid w:val="000E433E"/>
    <w:rsid w:val="000F39BB"/>
    <w:rsid w:val="00114785"/>
    <w:rsid w:val="00117A56"/>
    <w:rsid w:val="00126BE3"/>
    <w:rsid w:val="00127625"/>
    <w:rsid w:val="00155640"/>
    <w:rsid w:val="001702F5"/>
    <w:rsid w:val="001766CE"/>
    <w:rsid w:val="0018006D"/>
    <w:rsid w:val="00190492"/>
    <w:rsid w:val="001A37E1"/>
    <w:rsid w:val="001E7965"/>
    <w:rsid w:val="00231436"/>
    <w:rsid w:val="00261C33"/>
    <w:rsid w:val="00272349"/>
    <w:rsid w:val="002840E5"/>
    <w:rsid w:val="00295154"/>
    <w:rsid w:val="00297BC5"/>
    <w:rsid w:val="002A283E"/>
    <w:rsid w:val="002A509B"/>
    <w:rsid w:val="002A5B04"/>
    <w:rsid w:val="002B2FA7"/>
    <w:rsid w:val="002C0130"/>
    <w:rsid w:val="002C64B5"/>
    <w:rsid w:val="002C76F7"/>
    <w:rsid w:val="002E723C"/>
    <w:rsid w:val="00312F8E"/>
    <w:rsid w:val="0032371D"/>
    <w:rsid w:val="003303F5"/>
    <w:rsid w:val="003469E0"/>
    <w:rsid w:val="0034770E"/>
    <w:rsid w:val="00384C44"/>
    <w:rsid w:val="00386AB9"/>
    <w:rsid w:val="003B152A"/>
    <w:rsid w:val="003C15E2"/>
    <w:rsid w:val="003C474E"/>
    <w:rsid w:val="003D7676"/>
    <w:rsid w:val="003E037A"/>
    <w:rsid w:val="00400360"/>
    <w:rsid w:val="00406ED6"/>
    <w:rsid w:val="00420855"/>
    <w:rsid w:val="00427C71"/>
    <w:rsid w:val="004B2EEA"/>
    <w:rsid w:val="004C0E4F"/>
    <w:rsid w:val="004C1204"/>
    <w:rsid w:val="004D1CF4"/>
    <w:rsid w:val="00500EEA"/>
    <w:rsid w:val="005238A1"/>
    <w:rsid w:val="00523B47"/>
    <w:rsid w:val="00543EAE"/>
    <w:rsid w:val="00571A8F"/>
    <w:rsid w:val="00580A2B"/>
    <w:rsid w:val="00581CE2"/>
    <w:rsid w:val="00587E3E"/>
    <w:rsid w:val="005A1E8A"/>
    <w:rsid w:val="005B6393"/>
    <w:rsid w:val="005F0765"/>
    <w:rsid w:val="005F1032"/>
    <w:rsid w:val="00600C27"/>
    <w:rsid w:val="00601B89"/>
    <w:rsid w:val="00606D05"/>
    <w:rsid w:val="006148A9"/>
    <w:rsid w:val="00631117"/>
    <w:rsid w:val="006441D7"/>
    <w:rsid w:val="00644D72"/>
    <w:rsid w:val="00655921"/>
    <w:rsid w:val="00670FA2"/>
    <w:rsid w:val="00671FC0"/>
    <w:rsid w:val="00674E6C"/>
    <w:rsid w:val="00694C70"/>
    <w:rsid w:val="00696ADC"/>
    <w:rsid w:val="00696BBD"/>
    <w:rsid w:val="006A6340"/>
    <w:rsid w:val="006A7DAE"/>
    <w:rsid w:val="006D2522"/>
    <w:rsid w:val="006D25FF"/>
    <w:rsid w:val="006E03F1"/>
    <w:rsid w:val="006E2E21"/>
    <w:rsid w:val="00703EF1"/>
    <w:rsid w:val="00710EDF"/>
    <w:rsid w:val="00716C89"/>
    <w:rsid w:val="00727997"/>
    <w:rsid w:val="007407DA"/>
    <w:rsid w:val="0075123E"/>
    <w:rsid w:val="00761B1A"/>
    <w:rsid w:val="00774136"/>
    <w:rsid w:val="00775E60"/>
    <w:rsid w:val="007850A6"/>
    <w:rsid w:val="0079004C"/>
    <w:rsid w:val="007A11DE"/>
    <w:rsid w:val="007A3269"/>
    <w:rsid w:val="007A477A"/>
    <w:rsid w:val="007A5DAD"/>
    <w:rsid w:val="007C532E"/>
    <w:rsid w:val="007D5AC1"/>
    <w:rsid w:val="008011F5"/>
    <w:rsid w:val="008229C5"/>
    <w:rsid w:val="0083571F"/>
    <w:rsid w:val="008535AB"/>
    <w:rsid w:val="00857F43"/>
    <w:rsid w:val="00877184"/>
    <w:rsid w:val="0089223B"/>
    <w:rsid w:val="008949FB"/>
    <w:rsid w:val="008D09BF"/>
    <w:rsid w:val="008D4C3D"/>
    <w:rsid w:val="008F6153"/>
    <w:rsid w:val="00917013"/>
    <w:rsid w:val="00922E4F"/>
    <w:rsid w:val="00936553"/>
    <w:rsid w:val="00960859"/>
    <w:rsid w:val="00980C97"/>
    <w:rsid w:val="009838EB"/>
    <w:rsid w:val="00983F82"/>
    <w:rsid w:val="009967EE"/>
    <w:rsid w:val="00997382"/>
    <w:rsid w:val="009F4415"/>
    <w:rsid w:val="009F64C7"/>
    <w:rsid w:val="00A008C3"/>
    <w:rsid w:val="00A00919"/>
    <w:rsid w:val="00A1383B"/>
    <w:rsid w:val="00A21120"/>
    <w:rsid w:val="00A242BD"/>
    <w:rsid w:val="00A24CFA"/>
    <w:rsid w:val="00A431DB"/>
    <w:rsid w:val="00A56F8C"/>
    <w:rsid w:val="00A60D37"/>
    <w:rsid w:val="00A63492"/>
    <w:rsid w:val="00A668D3"/>
    <w:rsid w:val="00A737D7"/>
    <w:rsid w:val="00A81D83"/>
    <w:rsid w:val="00A84DB3"/>
    <w:rsid w:val="00AA06BF"/>
    <w:rsid w:val="00AB3EC2"/>
    <w:rsid w:val="00AE3A1B"/>
    <w:rsid w:val="00AE7C78"/>
    <w:rsid w:val="00AF13C0"/>
    <w:rsid w:val="00AF54CC"/>
    <w:rsid w:val="00AF75CD"/>
    <w:rsid w:val="00B01CBF"/>
    <w:rsid w:val="00B02891"/>
    <w:rsid w:val="00B119ED"/>
    <w:rsid w:val="00B23E45"/>
    <w:rsid w:val="00B27432"/>
    <w:rsid w:val="00B3385A"/>
    <w:rsid w:val="00B51742"/>
    <w:rsid w:val="00B631F2"/>
    <w:rsid w:val="00B64526"/>
    <w:rsid w:val="00B76737"/>
    <w:rsid w:val="00B84E00"/>
    <w:rsid w:val="00B94FC8"/>
    <w:rsid w:val="00BA2813"/>
    <w:rsid w:val="00BA788F"/>
    <w:rsid w:val="00BB5BDE"/>
    <w:rsid w:val="00BD12FA"/>
    <w:rsid w:val="00BD5938"/>
    <w:rsid w:val="00BE5DDA"/>
    <w:rsid w:val="00BE6C76"/>
    <w:rsid w:val="00BF123C"/>
    <w:rsid w:val="00BF62FB"/>
    <w:rsid w:val="00BF6945"/>
    <w:rsid w:val="00C24F9D"/>
    <w:rsid w:val="00C36EFC"/>
    <w:rsid w:val="00C45E13"/>
    <w:rsid w:val="00C743FC"/>
    <w:rsid w:val="00C75568"/>
    <w:rsid w:val="00C82F24"/>
    <w:rsid w:val="00C87EF6"/>
    <w:rsid w:val="00CC6548"/>
    <w:rsid w:val="00CF3594"/>
    <w:rsid w:val="00CF3DBA"/>
    <w:rsid w:val="00D00C67"/>
    <w:rsid w:val="00D0257C"/>
    <w:rsid w:val="00D0461C"/>
    <w:rsid w:val="00D05562"/>
    <w:rsid w:val="00D25CB9"/>
    <w:rsid w:val="00D31F3A"/>
    <w:rsid w:val="00D344A9"/>
    <w:rsid w:val="00D532B0"/>
    <w:rsid w:val="00D866B4"/>
    <w:rsid w:val="00DB5109"/>
    <w:rsid w:val="00DF37F1"/>
    <w:rsid w:val="00DF57E5"/>
    <w:rsid w:val="00DF67C0"/>
    <w:rsid w:val="00E24D8D"/>
    <w:rsid w:val="00E3188D"/>
    <w:rsid w:val="00E563F8"/>
    <w:rsid w:val="00E603CC"/>
    <w:rsid w:val="00E66ED8"/>
    <w:rsid w:val="00E70399"/>
    <w:rsid w:val="00E706AF"/>
    <w:rsid w:val="00E80755"/>
    <w:rsid w:val="00E8232D"/>
    <w:rsid w:val="00EB471F"/>
    <w:rsid w:val="00EB5AB5"/>
    <w:rsid w:val="00EE5DB4"/>
    <w:rsid w:val="00EF4FFC"/>
    <w:rsid w:val="00EF65E2"/>
    <w:rsid w:val="00EF7BFF"/>
    <w:rsid w:val="00F33A62"/>
    <w:rsid w:val="00F3722A"/>
    <w:rsid w:val="00F37A0B"/>
    <w:rsid w:val="00F44FD6"/>
    <w:rsid w:val="00F67D31"/>
    <w:rsid w:val="00F83DCD"/>
    <w:rsid w:val="00F9544B"/>
    <w:rsid w:val="00FC06AF"/>
    <w:rsid w:val="00FC6697"/>
    <w:rsid w:val="00FC6A6C"/>
    <w:rsid w:val="00FD270D"/>
    <w:rsid w:val="00FE20D2"/>
    <w:rsid w:val="00FE493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1">
    <w:name w:val="Menção Pendente1"/>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semiHidden/>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semiHidden/>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semiHidden/>
    <w:unhideWhenUsed/>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415"/>
    <w:rPr>
      <w:sz w:val="20"/>
      <w:szCs w:val="20"/>
    </w:rPr>
  </w:style>
  <w:style w:type="character" w:styleId="Refdenotaderodap">
    <w:name w:val="footnote reference"/>
    <w:basedOn w:val="Fontepargpadro"/>
    <w:uiPriority w:val="99"/>
    <w:semiHidden/>
    <w:unhideWhenUsed/>
    <w:rsid w:val="009F4415"/>
    <w:rPr>
      <w:vertAlign w:val="superscript"/>
    </w:rPr>
  </w:style>
  <w:style w:type="character" w:customStyle="1" w:styleId="PargrafodaListaChar">
    <w:name w:val="Parágrafo da Lista Char"/>
    <w:link w:val="PargrafodaLista"/>
    <w:rsid w:val="00EB471F"/>
    <w:rPr>
      <w:rFonts w:ascii="Calibri" w:eastAsia="Calibri" w:hAnsi="Calibri" w:cs="Times New Roman"/>
      <w:kern w:val="0"/>
      <w14:ligatures w14:val="none"/>
    </w:rPr>
  </w:style>
  <w:style w:type="character" w:customStyle="1" w:styleId="SemEspaamentoChar">
    <w:name w:val="Sem Espaçamento Char"/>
    <w:link w:val="SemEspaamento"/>
    <w:uiPriority w:val="1"/>
    <w:rsid w:val="003469E0"/>
    <w:rPr>
      <w:rFonts w:ascii="Times New Roman" w:eastAsia="Calibri" w:hAnsi="Times New Roman" w:cs="Times New Roman"/>
      <w:kern w:val="0"/>
      <w:sz w:val="24"/>
      <w:szCs w:val="24"/>
      <w:lang w:eastAsia="pt-BR"/>
      <w14:ligatures w14:val="none"/>
    </w:rPr>
  </w:style>
  <w:style w:type="character" w:customStyle="1" w:styleId="txt">
    <w:name w:val="txt"/>
    <w:rsid w:val="00EF65E2"/>
  </w:style>
  <w:style w:type="character" w:customStyle="1" w:styleId="TextodenotaderodapChar1">
    <w:name w:val="Texto de nota de rodapé Char1"/>
    <w:uiPriority w:val="99"/>
    <w:semiHidden/>
    <w:rsid w:val="00EF65E2"/>
    <w:rPr>
      <w:rFonts w:ascii="Times New Roman" w:eastAsia="Times New Roman" w:hAnsi="Times New Roman" w:cs="Times New Roman"/>
      <w:sz w:val="20"/>
      <w:szCs w:val="20"/>
      <w:lang w:eastAsia="ar-SA"/>
    </w:rPr>
  </w:style>
  <w:style w:type="character" w:customStyle="1" w:styleId="CaracteresdeNotadeRodap">
    <w:name w:val="Caracteres de Nota de Rodapé"/>
    <w:rsid w:val="004B2EEA"/>
    <w:rPr>
      <w:vertAlign w:val="superscript"/>
    </w:rPr>
  </w:style>
  <w:style w:type="character" w:customStyle="1" w:styleId="Refdenotaderodap1">
    <w:name w:val="Ref. de nota de rodapé1"/>
    <w:rsid w:val="004B2EEA"/>
    <w:rPr>
      <w:vertAlign w:val="superscript"/>
    </w:rPr>
  </w:style>
  <w:style w:type="character" w:styleId="MenoPendente">
    <w:name w:val="Unresolved Mention"/>
    <w:basedOn w:val="Fontepargpadro"/>
    <w:uiPriority w:val="99"/>
    <w:semiHidden/>
    <w:unhideWhenUsed/>
    <w:rsid w:val="00EF4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76047">
      <w:bodyDiv w:val="1"/>
      <w:marLeft w:val="0"/>
      <w:marRight w:val="0"/>
      <w:marTop w:val="0"/>
      <w:marBottom w:val="0"/>
      <w:divBdr>
        <w:top w:val="none" w:sz="0" w:space="0" w:color="auto"/>
        <w:left w:val="none" w:sz="0" w:space="0" w:color="auto"/>
        <w:bottom w:val="none" w:sz="0" w:space="0" w:color="auto"/>
        <w:right w:val="none" w:sz="0" w:space="0" w:color="auto"/>
      </w:divBdr>
    </w:div>
    <w:div w:id="623344459">
      <w:bodyDiv w:val="1"/>
      <w:marLeft w:val="0"/>
      <w:marRight w:val="0"/>
      <w:marTop w:val="0"/>
      <w:marBottom w:val="0"/>
      <w:divBdr>
        <w:top w:val="none" w:sz="0" w:space="0" w:color="auto"/>
        <w:left w:val="none" w:sz="0" w:space="0" w:color="auto"/>
        <w:bottom w:val="none" w:sz="0" w:space="0" w:color="auto"/>
        <w:right w:val="none" w:sz="0" w:space="0" w:color="auto"/>
      </w:divBdr>
    </w:div>
    <w:div w:id="765808806">
      <w:bodyDiv w:val="1"/>
      <w:marLeft w:val="0"/>
      <w:marRight w:val="0"/>
      <w:marTop w:val="0"/>
      <w:marBottom w:val="0"/>
      <w:divBdr>
        <w:top w:val="none" w:sz="0" w:space="0" w:color="auto"/>
        <w:left w:val="none" w:sz="0" w:space="0" w:color="auto"/>
        <w:bottom w:val="none" w:sz="0" w:space="0" w:color="auto"/>
        <w:right w:val="none" w:sz="0" w:space="0" w:color="auto"/>
      </w:divBdr>
      <w:divsChild>
        <w:div w:id="1148204851">
          <w:marLeft w:val="0"/>
          <w:marRight w:val="0"/>
          <w:marTop w:val="0"/>
          <w:marBottom w:val="0"/>
          <w:divBdr>
            <w:top w:val="none" w:sz="0" w:space="0" w:color="auto"/>
            <w:left w:val="none" w:sz="0" w:space="0" w:color="auto"/>
            <w:bottom w:val="none" w:sz="0" w:space="0" w:color="auto"/>
            <w:right w:val="none" w:sz="0" w:space="0" w:color="auto"/>
          </w:divBdr>
        </w:div>
      </w:divsChild>
    </w:div>
    <w:div w:id="847253706">
      <w:bodyDiv w:val="1"/>
      <w:marLeft w:val="0"/>
      <w:marRight w:val="0"/>
      <w:marTop w:val="0"/>
      <w:marBottom w:val="0"/>
      <w:divBdr>
        <w:top w:val="none" w:sz="0" w:space="0" w:color="auto"/>
        <w:left w:val="none" w:sz="0" w:space="0" w:color="auto"/>
        <w:bottom w:val="none" w:sz="0" w:space="0" w:color="auto"/>
        <w:right w:val="none" w:sz="0" w:space="0" w:color="auto"/>
      </w:divBdr>
      <w:divsChild>
        <w:div w:id="1214318604">
          <w:marLeft w:val="0"/>
          <w:marRight w:val="0"/>
          <w:marTop w:val="0"/>
          <w:marBottom w:val="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26499574">
      <w:bodyDiv w:val="1"/>
      <w:marLeft w:val="0"/>
      <w:marRight w:val="0"/>
      <w:marTop w:val="0"/>
      <w:marBottom w:val="0"/>
      <w:divBdr>
        <w:top w:val="none" w:sz="0" w:space="0" w:color="auto"/>
        <w:left w:val="none" w:sz="0" w:space="0" w:color="auto"/>
        <w:bottom w:val="none" w:sz="0" w:space="0" w:color="auto"/>
        <w:right w:val="none" w:sz="0" w:space="0" w:color="auto"/>
      </w:divBdr>
    </w:div>
    <w:div w:id="959843775">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231843227">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37000883">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D2B57-2E8E-4A6D-BA7F-9EF2B66B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5868</Words>
  <Characters>31692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3</cp:revision>
  <cp:lastPrinted>2025-07-09T00:21:00Z</cp:lastPrinted>
  <dcterms:created xsi:type="dcterms:W3CDTF">2025-07-09T00:21:00Z</dcterms:created>
  <dcterms:modified xsi:type="dcterms:W3CDTF">2025-07-09T00:24:00Z</dcterms:modified>
</cp:coreProperties>
</file>