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18D6" w14:textId="6229145D" w:rsidR="00D05562" w:rsidRPr="00D55ECC" w:rsidRDefault="00D05562" w:rsidP="00D55ECC">
      <w:pPr>
        <w:spacing w:after="0" w:line="240" w:lineRule="auto"/>
        <w:rPr>
          <w:rFonts w:ascii="Arial" w:eastAsiaTheme="minorEastAsia" w:hAnsi="Arial" w:cs="Arial"/>
          <w:b/>
          <w:bCs/>
          <w:spacing w:val="15"/>
          <w:sz w:val="24"/>
          <w:szCs w:val="24"/>
        </w:rPr>
        <w:sectPr w:rsidR="00D05562" w:rsidRPr="00D55ECC" w:rsidSect="008972CA">
          <w:headerReference w:type="default" r:id="rId8"/>
          <w:footerReference w:type="default" r:id="rId9"/>
          <w:pgSz w:w="11906" w:h="16838"/>
          <w:pgMar w:top="1985" w:right="1077" w:bottom="1077" w:left="1077" w:header="709" w:footer="709" w:gutter="0"/>
          <w:pgNumType w:start="1849"/>
          <w:cols w:space="708"/>
          <w:docGrid w:linePitch="360"/>
        </w:sectPr>
      </w:pPr>
      <w:bookmarkStart w:id="0" w:name="_Hlk178013420"/>
      <w:bookmarkStart w:id="1" w:name="_Hlk178013346"/>
      <w:bookmarkStart w:id="2" w:name="_Hlk178013219"/>
    </w:p>
    <w:p w14:paraId="0FA479B5" w14:textId="0A902C71" w:rsidR="00667C85" w:rsidRPr="00D55ECC" w:rsidRDefault="008972CA" w:rsidP="00D55ECC">
      <w:pPr>
        <w:spacing w:after="0" w:line="240" w:lineRule="auto"/>
        <w:jc w:val="center"/>
        <w:rPr>
          <w:rFonts w:ascii="Arial" w:eastAsiaTheme="minorEastAsia" w:hAnsi="Arial" w:cs="Arial"/>
          <w:b/>
          <w:bCs/>
          <w:spacing w:val="15"/>
          <w:sz w:val="24"/>
          <w:szCs w:val="24"/>
        </w:rPr>
      </w:pPr>
      <w:bookmarkStart w:id="3" w:name="_Hlk178013429"/>
      <w:bookmarkEnd w:id="0"/>
      <w:r w:rsidRPr="00D55ECC">
        <w:rPr>
          <w:rFonts w:ascii="Arial" w:eastAsiaTheme="minorEastAsia" w:hAnsi="Arial" w:cs="Arial"/>
          <w:b/>
          <w:bCs/>
          <w:spacing w:val="15"/>
          <w:sz w:val="24"/>
          <w:szCs w:val="24"/>
        </w:rPr>
        <w:t>PROFESSIONAL EDUCATION AND REGIONAL DEVELOPMENT IN GOIÁS: CHALLENGES AND PERSPECTIVES IN THE ERA OF ECONOMY 4.0</w:t>
      </w:r>
    </w:p>
    <w:p w14:paraId="1702B4EF" w14:textId="77777777" w:rsidR="008972CA" w:rsidRPr="00D55ECC" w:rsidRDefault="008972CA" w:rsidP="00D55ECC">
      <w:pPr>
        <w:spacing w:after="0" w:line="240" w:lineRule="auto"/>
        <w:rPr>
          <w:rFonts w:ascii="Arial" w:eastAsiaTheme="minorEastAsia" w:hAnsi="Arial" w:cs="Arial"/>
          <w:b/>
          <w:bCs/>
          <w:spacing w:val="15"/>
          <w:sz w:val="24"/>
          <w:szCs w:val="24"/>
        </w:rPr>
      </w:pPr>
    </w:p>
    <w:p w14:paraId="15F16125" w14:textId="77777777" w:rsidR="00AF13C0" w:rsidRPr="00D55ECC" w:rsidRDefault="00AF13C0" w:rsidP="00D55ECC">
      <w:pPr>
        <w:spacing w:after="0" w:line="240" w:lineRule="auto"/>
        <w:rPr>
          <w:rFonts w:ascii="Arial" w:hAnsi="Arial" w:cs="Arial"/>
          <w:sz w:val="24"/>
          <w:szCs w:val="24"/>
        </w:rPr>
        <w:sectPr w:rsidR="00AF13C0" w:rsidRPr="00D55ECC" w:rsidSect="00D05562">
          <w:type w:val="continuous"/>
          <w:pgSz w:w="11906" w:h="16838"/>
          <w:pgMar w:top="1985" w:right="1077" w:bottom="1077" w:left="1077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elacomgrade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4143"/>
      </w:tblGrid>
      <w:tr w:rsidR="00AF54CC" w:rsidRPr="00D55ECC" w14:paraId="082A833A" w14:textId="77777777" w:rsidTr="00B119ED">
        <w:tc>
          <w:tcPr>
            <w:tcW w:w="546" w:type="dxa"/>
            <w:shd w:val="clear" w:color="auto" w:fill="FFFFFF" w:themeFill="background1"/>
            <w:vAlign w:val="center"/>
          </w:tcPr>
          <w:p w14:paraId="390C14F8" w14:textId="7A04F9BA" w:rsidR="00BE6C76" w:rsidRPr="00D55ECC" w:rsidRDefault="00255BF3" w:rsidP="00D55ECC">
            <w:pPr>
              <w:rPr>
                <w:rFonts w:ascii="Arial" w:hAnsi="Arial" w:cs="Arial"/>
                <w:sz w:val="24"/>
                <w:szCs w:val="24"/>
              </w:rPr>
            </w:pPr>
            <w:r w:rsidRPr="00D55EC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04D2258" wp14:editId="58A2356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0</wp:posOffset>
                  </wp:positionV>
                  <wp:extent cx="175260" cy="173990"/>
                  <wp:effectExtent l="0" t="0" r="0" b="0"/>
                  <wp:wrapNone/>
                  <wp:docPr id="713363691" name="Imagem 1" descr="DOI, Indexing of Articles and Services Crossref - Galoá Ciên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I, Indexação de Artigos e serviços Crossref - Galoá Ciên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454" w:rsidRPr="00D55EC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D1454" w:rsidRPr="00D55ECC">
              <w:rPr>
                <w:rFonts w:ascii="Arial" w:hAnsi="Arial" w:cs="Arial"/>
                <w:sz w:val="24"/>
                <w:szCs w:val="24"/>
              </w:rPr>
              <w:instrText xml:space="preserve"> INCLUDEPICTURE "https://galoa.com.br/wp-content/uploads/2022/05/doi-med.png" \* MERGEFORMATINET </w:instrText>
            </w:r>
            <w:r w:rsidR="000D1454" w:rsidRPr="00D55EC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D1454" w:rsidRPr="00D55EC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43" w:type="dxa"/>
            <w:vAlign w:val="center"/>
          </w:tcPr>
          <w:p w14:paraId="1F8D3B59" w14:textId="09AB0EDB" w:rsidR="00BE6C76" w:rsidRPr="00D55ECC" w:rsidRDefault="00B119ED" w:rsidP="00D55ECC">
            <w:pPr>
              <w:jc w:val="center"/>
              <w:rPr>
                <w:rFonts w:ascii="Arial" w:hAnsi="Arial" w:cs="Arial"/>
              </w:rPr>
            </w:pPr>
            <w:hyperlink r:id="rId11" w:history="1">
              <w:r w:rsidRPr="00D55ECC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https://doi.org/10.56238/arev7n1-110</w:t>
              </w:r>
            </w:hyperlink>
          </w:p>
        </w:tc>
      </w:tr>
    </w:tbl>
    <w:p w14:paraId="3B1686FD" w14:textId="4B721559" w:rsidR="00BE6C76" w:rsidRPr="00D55ECC" w:rsidRDefault="00BE6C76" w:rsidP="00D55E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DC22C1" w14:textId="77777777" w:rsidR="00B51742" w:rsidRPr="00D55ECC" w:rsidRDefault="00B51742" w:rsidP="00D55E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B51742" w:rsidRPr="00D55ECC" w:rsidSect="00D05562">
          <w:type w:val="continuous"/>
          <w:pgSz w:w="11906" w:h="16838"/>
          <w:pgMar w:top="1985" w:right="1077" w:bottom="1077" w:left="1077" w:header="709" w:footer="709" w:gutter="0"/>
          <w:cols w:space="708"/>
          <w:titlePg/>
          <w:docGrid w:linePitch="360"/>
        </w:sectPr>
      </w:pPr>
      <w:bookmarkStart w:id="4" w:name="_Hlk178013435"/>
    </w:p>
    <w:p w14:paraId="53A415D5" w14:textId="5E1ECABA" w:rsidR="00B51742" w:rsidRPr="00D55ECC" w:rsidRDefault="00003167" w:rsidP="00D55E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55ECC">
        <w:rPr>
          <w:rFonts w:ascii="Arial" w:hAnsi="Arial" w:cs="Arial"/>
          <w:b/>
          <w:bCs/>
          <w:sz w:val="20"/>
          <w:szCs w:val="20"/>
        </w:rPr>
        <w:t>Submitted</w:t>
      </w:r>
      <w:proofErr w:type="spellEnd"/>
      <w:r w:rsidRPr="00D55EC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55ECC">
        <w:rPr>
          <w:rFonts w:ascii="Arial" w:hAnsi="Arial" w:cs="Arial"/>
          <w:b/>
          <w:bCs/>
          <w:sz w:val="20"/>
          <w:szCs w:val="20"/>
        </w:rPr>
        <w:t>on</w:t>
      </w:r>
      <w:proofErr w:type="spellEnd"/>
      <w:r w:rsidRPr="00D55ECC">
        <w:rPr>
          <w:rFonts w:ascii="Arial" w:hAnsi="Arial" w:cs="Arial"/>
          <w:b/>
          <w:bCs/>
          <w:sz w:val="20"/>
          <w:szCs w:val="20"/>
        </w:rPr>
        <w:t xml:space="preserve">: </w:t>
      </w:r>
      <w:r w:rsidR="008972CA" w:rsidRPr="00D55ECC">
        <w:rPr>
          <w:rFonts w:ascii="Arial" w:hAnsi="Arial" w:cs="Arial"/>
          <w:sz w:val="20"/>
          <w:szCs w:val="20"/>
        </w:rPr>
        <w:t>10/12/2024</w:t>
      </w:r>
    </w:p>
    <w:p w14:paraId="28DDDEA2" w14:textId="32A20151" w:rsidR="00003167" w:rsidRPr="00D55ECC" w:rsidRDefault="00003167" w:rsidP="00D55E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55ECC">
        <w:rPr>
          <w:rFonts w:ascii="Arial" w:hAnsi="Arial" w:cs="Arial"/>
          <w:b/>
          <w:bCs/>
          <w:sz w:val="20"/>
          <w:szCs w:val="20"/>
        </w:rPr>
        <w:t>Publication</w:t>
      </w:r>
      <w:proofErr w:type="spellEnd"/>
      <w:r w:rsidRPr="00D55ECC">
        <w:rPr>
          <w:rFonts w:ascii="Arial" w:hAnsi="Arial" w:cs="Arial"/>
          <w:b/>
          <w:bCs/>
          <w:sz w:val="20"/>
          <w:szCs w:val="20"/>
        </w:rPr>
        <w:t xml:space="preserve"> date: </w:t>
      </w:r>
      <w:r w:rsidR="008972CA" w:rsidRPr="00D55ECC">
        <w:rPr>
          <w:rFonts w:ascii="Arial" w:hAnsi="Arial" w:cs="Arial"/>
          <w:sz w:val="20"/>
          <w:szCs w:val="20"/>
        </w:rPr>
        <w:t>10/01/2025</w:t>
      </w:r>
    </w:p>
    <w:p w14:paraId="504FE17C" w14:textId="77777777" w:rsidR="00003167" w:rsidRPr="00D55ECC" w:rsidRDefault="00003167" w:rsidP="00D55E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003167" w:rsidRPr="00D55ECC" w:rsidSect="00D05562">
          <w:headerReference w:type="first" r:id="rId12"/>
          <w:type w:val="continuous"/>
          <w:pgSz w:w="11906" w:h="16838"/>
          <w:pgMar w:top="1985" w:right="1077" w:bottom="1077" w:left="1077" w:header="737" w:footer="709" w:gutter="0"/>
          <w:cols w:num="2" w:space="708"/>
          <w:titlePg/>
          <w:docGrid w:linePitch="360"/>
        </w:sectPr>
      </w:pPr>
    </w:p>
    <w:p w14:paraId="28E006D2" w14:textId="77777777" w:rsidR="00003167" w:rsidRPr="00D55ECC" w:rsidRDefault="00003167" w:rsidP="00D55E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bookmarkEnd w:id="4"/>
    <w:p w14:paraId="46A1BC00" w14:textId="02C00896" w:rsidR="008972CA" w:rsidRPr="00D55ECC" w:rsidRDefault="008972CA" w:rsidP="00D55E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t>Ralf Melo de Oliveira</w:t>
      </w:r>
      <w:r w:rsidR="00D55ECC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  <w:r w:rsidR="00D55E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55ECC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="00D55E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5ECC">
        <w:rPr>
          <w:rFonts w:ascii="Arial" w:hAnsi="Arial" w:cs="Arial"/>
          <w:b/>
          <w:bCs/>
          <w:sz w:val="24"/>
          <w:szCs w:val="24"/>
        </w:rPr>
        <w:t>Adriano Donizeti Pila</w:t>
      </w:r>
      <w:r w:rsidR="00D55ECC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14:paraId="63F5A461" w14:textId="535D8AC6" w:rsidR="00B820F1" w:rsidRPr="00D55ECC" w:rsidRDefault="000D1454" w:rsidP="00D55E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5E1A9" wp14:editId="2A378164">
                <wp:simplePos x="0" y="0"/>
                <wp:positionH relativeFrom="column">
                  <wp:posOffset>-226695</wp:posOffset>
                </wp:positionH>
                <wp:positionV relativeFrom="paragraph">
                  <wp:posOffset>96580</wp:posOffset>
                </wp:positionV>
                <wp:extent cx="6607834" cy="0"/>
                <wp:effectExtent l="0" t="0" r="0" b="0"/>
                <wp:wrapNone/>
                <wp:docPr id="14179441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8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ector Re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fc000 [3207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" from="-17.85pt,7.6pt" to="502.45pt,7.6pt" w14:anchorId="1B530DE8">
                <v:stroke joinstyle="miter"/>
              </v:line>
            </w:pict>
          </mc:Fallback>
        </mc:AlternateContent>
      </w:r>
      <w:bookmarkEnd w:id="3"/>
    </w:p>
    <w:p w14:paraId="0C255479" w14:textId="77777777" w:rsidR="00B255B9" w:rsidRDefault="00B255B9" w:rsidP="00D55E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ABSTRACT</w:t>
      </w:r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E655C0" w14:textId="4C239559" w:rsidR="00667C85" w:rsidRPr="00D55ECC" w:rsidRDefault="008972CA" w:rsidP="00D55E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This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text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investigates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interactions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between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education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(EFA),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public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development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in Goiás,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highlighting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changes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brought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about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by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4.0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economy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research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structured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three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central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axes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: EFA as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incentive for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technical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training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citizenship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public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policies as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instruments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mitigate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inequalities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digital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economy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as a driver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transformations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market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education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. In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context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Goiás, professional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education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programs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analyzed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relation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their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effectiveness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uniting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training, social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inclusion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economic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growth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Despite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remarkable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progress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challenges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remain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related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interaction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between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those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involved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innovation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study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suggests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integrated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approach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that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aligns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educational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with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needs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enhancing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effect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education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development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conclusion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that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modernization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EFA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its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relationship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with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demands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today's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economy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essential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promote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sustainable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, inclusive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development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adapted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characteristics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implementation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emerging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education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represents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valuable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opportunity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expand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access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to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education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, personalize learning,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empower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individuals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challenges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 xml:space="preserve"> global </w:t>
      </w:r>
      <w:proofErr w:type="spellStart"/>
      <w:r w:rsidRPr="00D55ECC">
        <w:rPr>
          <w:rFonts w:ascii="Arial" w:eastAsia="Times New Roman" w:hAnsi="Arial" w:cs="Arial"/>
          <w:sz w:val="24"/>
          <w:szCs w:val="24"/>
        </w:rPr>
        <w:t>economy</w:t>
      </w:r>
      <w:proofErr w:type="spellEnd"/>
      <w:r w:rsidRPr="00D55ECC">
        <w:rPr>
          <w:rFonts w:ascii="Arial" w:eastAsia="Times New Roman" w:hAnsi="Arial" w:cs="Arial"/>
          <w:sz w:val="24"/>
          <w:szCs w:val="24"/>
        </w:rPr>
        <w:t>.</w:t>
      </w:r>
    </w:p>
    <w:p w14:paraId="7F90415B" w14:textId="77777777" w:rsidR="008972CA" w:rsidRPr="00D55ECC" w:rsidRDefault="008972CA" w:rsidP="00D55E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F57AD" w14:textId="27A58478" w:rsidR="00AF54CC" w:rsidRPr="00D55ECC" w:rsidRDefault="00AF54CC" w:rsidP="00D55E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t xml:space="preserve">Keywords: </w:t>
      </w:r>
      <w:bookmarkEnd w:id="1"/>
      <w:bookmarkEnd w:id="2"/>
      <w:r w:rsidR="008972CA" w:rsidRPr="00D55ECC">
        <w:rPr>
          <w:rFonts w:ascii="Arial" w:eastAsia="Times New Roman" w:hAnsi="Arial" w:cs="Arial"/>
          <w:sz w:val="24"/>
          <w:szCs w:val="24"/>
        </w:rPr>
        <w:t xml:space="preserve">Professional </w:t>
      </w:r>
      <w:proofErr w:type="spellStart"/>
      <w:r w:rsidR="008972CA" w:rsidRPr="00D55ECC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="008972CA"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972CA" w:rsidRPr="00D55ECC">
        <w:rPr>
          <w:rFonts w:ascii="Arial" w:eastAsia="Times New Roman" w:hAnsi="Arial" w:cs="Arial"/>
          <w:sz w:val="24"/>
          <w:szCs w:val="24"/>
        </w:rPr>
        <w:t>Technological</w:t>
      </w:r>
      <w:proofErr w:type="spellEnd"/>
      <w:r w:rsidR="008972CA" w:rsidRPr="00D55E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972CA" w:rsidRPr="00D55ECC">
        <w:rPr>
          <w:rFonts w:ascii="Arial" w:eastAsia="Times New Roman" w:hAnsi="Arial" w:cs="Arial"/>
          <w:sz w:val="24"/>
          <w:szCs w:val="24"/>
        </w:rPr>
        <w:t>Education</w:t>
      </w:r>
      <w:proofErr w:type="spellEnd"/>
      <w:r w:rsidR="008972CA" w:rsidRPr="00D55ECC">
        <w:rPr>
          <w:rFonts w:ascii="Arial" w:eastAsia="Times New Roman" w:hAnsi="Arial" w:cs="Arial"/>
          <w:sz w:val="24"/>
          <w:szCs w:val="24"/>
        </w:rPr>
        <w:t xml:space="preserve"> (EPT). </w:t>
      </w:r>
      <w:proofErr w:type="spellStart"/>
      <w:r w:rsidR="008972CA" w:rsidRPr="00D55ECC">
        <w:rPr>
          <w:rFonts w:ascii="Arial" w:eastAsia="Times New Roman" w:hAnsi="Arial" w:cs="Arial"/>
          <w:sz w:val="24"/>
          <w:szCs w:val="24"/>
        </w:rPr>
        <w:t>Public</w:t>
      </w:r>
      <w:proofErr w:type="spellEnd"/>
      <w:r w:rsidR="008972CA" w:rsidRPr="00D55ECC">
        <w:rPr>
          <w:rFonts w:ascii="Arial" w:eastAsia="Times New Roman" w:hAnsi="Arial" w:cs="Arial"/>
          <w:sz w:val="24"/>
          <w:szCs w:val="24"/>
        </w:rPr>
        <w:t xml:space="preserve"> Policies. Regional </w:t>
      </w:r>
      <w:proofErr w:type="spellStart"/>
      <w:r w:rsidR="008972CA" w:rsidRPr="00D55ECC">
        <w:rPr>
          <w:rFonts w:ascii="Arial" w:eastAsia="Times New Roman" w:hAnsi="Arial" w:cs="Arial"/>
          <w:sz w:val="24"/>
          <w:szCs w:val="24"/>
        </w:rPr>
        <w:t>development</w:t>
      </w:r>
      <w:proofErr w:type="spellEnd"/>
      <w:r w:rsidR="008972CA" w:rsidRPr="00D55EC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72CA" w:rsidRPr="00D55ECC">
        <w:rPr>
          <w:rFonts w:ascii="Arial" w:eastAsia="Times New Roman" w:hAnsi="Arial" w:cs="Arial"/>
          <w:sz w:val="24"/>
          <w:szCs w:val="24"/>
        </w:rPr>
        <w:t>Economy</w:t>
      </w:r>
      <w:proofErr w:type="spellEnd"/>
      <w:r w:rsidR="008972CA" w:rsidRPr="00D55ECC">
        <w:rPr>
          <w:rFonts w:ascii="Arial" w:eastAsia="Times New Roman" w:hAnsi="Arial" w:cs="Arial"/>
          <w:sz w:val="24"/>
          <w:szCs w:val="24"/>
        </w:rPr>
        <w:t xml:space="preserve"> 4.0.</w:t>
      </w:r>
      <w:r w:rsidRPr="00D55ECC">
        <w:rPr>
          <w:rFonts w:ascii="Arial" w:hAnsi="Arial" w:cs="Arial"/>
          <w:b/>
          <w:bCs/>
          <w:sz w:val="24"/>
          <w:szCs w:val="24"/>
        </w:rPr>
        <w:br w:type="page"/>
      </w:r>
    </w:p>
    <w:p w14:paraId="50DF0D6B" w14:textId="6FA03FEB" w:rsidR="00667C85" w:rsidRPr="00D55ECC" w:rsidRDefault="00AF54CC" w:rsidP="00D55EC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lastRenderedPageBreak/>
        <w:t>INTRODUCTION</w:t>
      </w:r>
    </w:p>
    <w:p w14:paraId="614F95AD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Regional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established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itself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area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investigation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integrates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several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disciplines, </w:t>
      </w:r>
      <w:proofErr w:type="spellStart"/>
      <w:r w:rsidRPr="00D55ECC">
        <w:rPr>
          <w:rFonts w:ascii="Arial" w:hAnsi="Arial" w:cs="Arial"/>
          <w:sz w:val="24"/>
          <w:szCs w:val="24"/>
        </w:rPr>
        <w:t>encompassing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social, cultural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environmental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aspects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Within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panorama,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emerges as a fundamental </w:t>
      </w:r>
      <w:proofErr w:type="spellStart"/>
      <w:r w:rsidRPr="00D55ECC">
        <w:rPr>
          <w:rFonts w:ascii="Arial" w:hAnsi="Arial" w:cs="Arial"/>
          <w:sz w:val="24"/>
          <w:szCs w:val="24"/>
        </w:rPr>
        <w:t>component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workforce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induction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structural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EFA </w:t>
      </w:r>
      <w:proofErr w:type="spellStart"/>
      <w:r w:rsidRPr="00D55ECC">
        <w:rPr>
          <w:rFonts w:ascii="Arial" w:hAnsi="Arial" w:cs="Arial"/>
          <w:sz w:val="24"/>
          <w:szCs w:val="24"/>
        </w:rPr>
        <w:t>goes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beyond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training, as it </w:t>
      </w:r>
      <w:proofErr w:type="spellStart"/>
      <w:r w:rsidRPr="00D55ECC">
        <w:rPr>
          <w:rFonts w:ascii="Arial" w:hAnsi="Arial" w:cs="Arial"/>
          <w:sz w:val="24"/>
          <w:szCs w:val="24"/>
        </w:rPr>
        <w:t>also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aims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train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critical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individuals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capable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inclusive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55ECC">
        <w:rPr>
          <w:rFonts w:ascii="Arial" w:hAnsi="Arial" w:cs="Arial"/>
          <w:sz w:val="24"/>
          <w:szCs w:val="24"/>
        </w:rPr>
        <w:t>Filippim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&amp; Moreschi, 2020).</w:t>
      </w:r>
    </w:p>
    <w:p w14:paraId="452E037C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Goiás,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incorporated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 </w:t>
      </w:r>
      <w:proofErr w:type="spellStart"/>
      <w:r w:rsidRPr="00D55ECC">
        <w:rPr>
          <w:rFonts w:ascii="Arial" w:hAnsi="Arial" w:cs="Arial"/>
          <w:sz w:val="24"/>
          <w:szCs w:val="24"/>
        </w:rPr>
        <w:t>into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practices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emphasis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initiatives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Pronatec (</w:t>
      </w:r>
      <w:proofErr w:type="spellStart"/>
      <w:r w:rsidRPr="00D55ECC">
        <w:rPr>
          <w:rFonts w:ascii="Arial" w:hAnsi="Arial" w:cs="Arial"/>
          <w:sz w:val="24"/>
          <w:szCs w:val="24"/>
        </w:rPr>
        <w:t>National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Program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Access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Employment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aims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training,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groups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vulnerable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situations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seeking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requirements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region's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(Santos et al., 2019). </w:t>
      </w:r>
      <w:proofErr w:type="spellStart"/>
      <w:r w:rsidRPr="00D55ECC">
        <w:rPr>
          <w:rFonts w:ascii="Arial" w:hAnsi="Arial" w:cs="Arial"/>
          <w:sz w:val="24"/>
          <w:szCs w:val="24"/>
        </w:rPr>
        <w:t>Despite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progress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still </w:t>
      </w:r>
      <w:proofErr w:type="spellStart"/>
      <w:r w:rsidRPr="00D55ECC">
        <w:rPr>
          <w:rFonts w:ascii="Arial" w:hAnsi="Arial" w:cs="Arial"/>
          <w:sz w:val="24"/>
          <w:szCs w:val="24"/>
        </w:rPr>
        <w:t>faced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better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collaboration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spheres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sector, as </w:t>
      </w:r>
      <w:proofErr w:type="spellStart"/>
      <w:r w:rsidRPr="00D55ECC">
        <w:rPr>
          <w:rFonts w:ascii="Arial" w:hAnsi="Arial" w:cs="Arial"/>
          <w:sz w:val="24"/>
          <w:szCs w:val="24"/>
        </w:rPr>
        <w:t>well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structural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financial </w:t>
      </w:r>
      <w:proofErr w:type="spellStart"/>
      <w:r w:rsidRPr="00D55ECC">
        <w:rPr>
          <w:rFonts w:ascii="Arial" w:hAnsi="Arial" w:cs="Arial"/>
          <w:sz w:val="24"/>
          <w:szCs w:val="24"/>
        </w:rPr>
        <w:t>obstacles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11488CA2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Fourth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Industrial Revolution, </w:t>
      </w:r>
      <w:proofErr w:type="spellStart"/>
      <w:r w:rsidRPr="00D55ECC">
        <w:rPr>
          <w:rFonts w:ascii="Arial" w:hAnsi="Arial" w:cs="Arial"/>
          <w:sz w:val="24"/>
          <w:szCs w:val="24"/>
        </w:rPr>
        <w:t>or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4.0, </w:t>
      </w:r>
      <w:proofErr w:type="spellStart"/>
      <w:r w:rsidRPr="00D55ECC">
        <w:rPr>
          <w:rFonts w:ascii="Arial" w:hAnsi="Arial" w:cs="Arial"/>
          <w:sz w:val="24"/>
          <w:szCs w:val="24"/>
        </w:rPr>
        <w:t>imposes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both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spheres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intensification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convergence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artificial </w:t>
      </w:r>
      <w:proofErr w:type="spellStart"/>
      <w:r w:rsidRPr="00D55ECC">
        <w:rPr>
          <w:rFonts w:ascii="Arial" w:hAnsi="Arial" w:cs="Arial"/>
          <w:sz w:val="24"/>
          <w:szCs w:val="24"/>
        </w:rPr>
        <w:t>intelligence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automation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job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requires </w:t>
      </w:r>
      <w:proofErr w:type="spellStart"/>
      <w:r w:rsidRPr="00D55ECC">
        <w:rPr>
          <w:rFonts w:ascii="Arial" w:hAnsi="Arial" w:cs="Arial"/>
          <w:sz w:val="24"/>
          <w:szCs w:val="24"/>
        </w:rPr>
        <w:t>professionals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high </w:t>
      </w:r>
      <w:proofErr w:type="spellStart"/>
      <w:r w:rsidRPr="00D55ECC">
        <w:rPr>
          <w:rFonts w:ascii="Arial" w:hAnsi="Arial" w:cs="Arial"/>
          <w:sz w:val="24"/>
          <w:szCs w:val="24"/>
        </w:rPr>
        <w:t>level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qualification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adaptability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(Schwab, 2016).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requires </w:t>
      </w:r>
      <w:proofErr w:type="spellStart"/>
      <w:r w:rsidRPr="00D55ECC">
        <w:rPr>
          <w:rFonts w:ascii="Arial" w:hAnsi="Arial" w:cs="Arial"/>
          <w:sz w:val="24"/>
          <w:szCs w:val="24"/>
        </w:rPr>
        <w:t>significant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transformations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ECC">
        <w:rPr>
          <w:rFonts w:ascii="Arial" w:hAnsi="Arial" w:cs="Arial"/>
          <w:sz w:val="24"/>
          <w:szCs w:val="24"/>
        </w:rPr>
        <w:t>in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(EFA), </w:t>
      </w:r>
      <w:proofErr w:type="spellStart"/>
      <w:r w:rsidRPr="00D55ECC">
        <w:rPr>
          <w:rFonts w:ascii="Arial" w:hAnsi="Arial" w:cs="Arial"/>
          <w:sz w:val="24"/>
          <w:szCs w:val="24"/>
        </w:rPr>
        <w:t>including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teaching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incorporation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emerging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digital </w:t>
      </w:r>
      <w:proofErr w:type="spellStart"/>
      <w:r w:rsidRPr="00D55ECC">
        <w:rPr>
          <w:rFonts w:ascii="Arial" w:hAnsi="Arial" w:cs="Arial"/>
          <w:sz w:val="24"/>
          <w:szCs w:val="24"/>
        </w:rPr>
        <w:t>platforms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augmented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reality,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aim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personalize learning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enhance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both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socio-</w:t>
      </w:r>
      <w:proofErr w:type="spellStart"/>
      <w:r w:rsidRPr="00D55ECC">
        <w:rPr>
          <w:rFonts w:ascii="Arial" w:hAnsi="Arial" w:cs="Arial"/>
          <w:sz w:val="24"/>
          <w:szCs w:val="24"/>
        </w:rPr>
        <w:t>emotional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skills (Silva &amp; Neves, 2025).</w:t>
      </w:r>
    </w:p>
    <w:p w14:paraId="2747DB80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synergy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updating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conscious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adoption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convert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type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driver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Goiás,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change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significant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55ECC">
        <w:rPr>
          <w:rFonts w:ascii="Arial" w:hAnsi="Arial" w:cs="Arial"/>
          <w:sz w:val="24"/>
          <w:szCs w:val="24"/>
        </w:rPr>
        <w:t>as its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location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combines a </w:t>
      </w:r>
      <w:proofErr w:type="spellStart"/>
      <w:r w:rsidRPr="00D55ECC">
        <w:rPr>
          <w:rFonts w:ascii="Arial" w:hAnsi="Arial" w:cs="Arial"/>
          <w:sz w:val="24"/>
          <w:szCs w:val="24"/>
        </w:rPr>
        <w:t>varied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encompasses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agribusiness, </w:t>
      </w:r>
      <w:proofErr w:type="spellStart"/>
      <w:r w:rsidRPr="00D55ECC">
        <w:rPr>
          <w:rFonts w:ascii="Arial" w:hAnsi="Arial" w:cs="Arial"/>
          <w:sz w:val="24"/>
          <w:szCs w:val="24"/>
        </w:rPr>
        <w:t>industry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services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important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socioeconomic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(Gomes &amp; Santos, 2022). In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vocational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plays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role in </w:t>
      </w:r>
      <w:proofErr w:type="spellStart"/>
      <w:r w:rsidRPr="00D55ECC">
        <w:rPr>
          <w:rFonts w:ascii="Arial" w:hAnsi="Arial" w:cs="Arial"/>
          <w:sz w:val="24"/>
          <w:szCs w:val="24"/>
        </w:rPr>
        <w:t>reducing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inequalities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promoting a more </w:t>
      </w:r>
      <w:proofErr w:type="spellStart"/>
      <w:r w:rsidRPr="00D55ECC">
        <w:rPr>
          <w:rFonts w:ascii="Arial" w:hAnsi="Arial" w:cs="Arial"/>
          <w:sz w:val="24"/>
          <w:szCs w:val="24"/>
        </w:rPr>
        <w:t>balanced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0ABC7D44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lastRenderedPageBreak/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adoption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Vocational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offers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chance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renew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teaching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making </w:t>
      </w:r>
      <w:proofErr w:type="spellStart"/>
      <w:r w:rsidRPr="00D55ECC">
        <w:rPr>
          <w:rFonts w:ascii="Arial" w:hAnsi="Arial" w:cs="Arial"/>
          <w:sz w:val="24"/>
          <w:szCs w:val="24"/>
        </w:rPr>
        <w:t>them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D55ECC">
        <w:rPr>
          <w:rFonts w:ascii="Arial" w:hAnsi="Arial" w:cs="Arial"/>
          <w:sz w:val="24"/>
          <w:szCs w:val="24"/>
        </w:rPr>
        <w:t>efficient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accessible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Resources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ECC">
        <w:rPr>
          <w:rFonts w:ascii="Arial" w:hAnsi="Arial" w:cs="Arial"/>
          <w:sz w:val="24"/>
          <w:szCs w:val="24"/>
        </w:rPr>
        <w:t>as artificial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intelligence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reach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adapting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learning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individual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increase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their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employment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opportunities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(Carvalho, 2020).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requires </w:t>
      </w:r>
      <w:proofErr w:type="spellStart"/>
      <w:r w:rsidRPr="00D55ECC">
        <w:rPr>
          <w:rFonts w:ascii="Arial" w:hAnsi="Arial" w:cs="Arial"/>
          <w:sz w:val="24"/>
          <w:szCs w:val="24"/>
        </w:rPr>
        <w:t>considerable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investments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teacher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training, as </w:t>
      </w:r>
      <w:proofErr w:type="spellStart"/>
      <w:r w:rsidRPr="00D55ECC">
        <w:rPr>
          <w:rFonts w:ascii="Arial" w:hAnsi="Arial" w:cs="Arial"/>
          <w:sz w:val="24"/>
          <w:szCs w:val="24"/>
        </w:rPr>
        <w:t>well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actions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overcome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divide,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D55ECC">
        <w:rPr>
          <w:rFonts w:ascii="Arial" w:hAnsi="Arial" w:cs="Arial"/>
          <w:sz w:val="24"/>
          <w:szCs w:val="24"/>
        </w:rPr>
        <w:t>impacts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rural </w:t>
      </w:r>
      <w:proofErr w:type="spellStart"/>
      <w:r w:rsidRPr="00D55ECC">
        <w:rPr>
          <w:rFonts w:ascii="Arial" w:hAnsi="Arial" w:cs="Arial"/>
          <w:sz w:val="24"/>
          <w:szCs w:val="24"/>
        </w:rPr>
        <w:t>areas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most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vulnerable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urban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communities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(Oliveira &amp; Costa, 2023).</w:t>
      </w:r>
    </w:p>
    <w:p w14:paraId="7C1E6348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aims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examine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connections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(EFA),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progress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Goiás, </w:t>
      </w:r>
      <w:proofErr w:type="spellStart"/>
      <w:r w:rsidRPr="00D55ECC">
        <w:rPr>
          <w:rFonts w:ascii="Arial" w:hAnsi="Arial" w:cs="Arial"/>
          <w:sz w:val="24"/>
          <w:szCs w:val="24"/>
        </w:rPr>
        <w:t>emphasizing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It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believed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integration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areas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facilitate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inclusive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provided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obstacles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dispersion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different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involved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lack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coordination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requirements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overcome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(Silva &amp; Almeida, 2018).</w:t>
      </w:r>
    </w:p>
    <w:p w14:paraId="34D3A93C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present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structured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three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fundamental </w:t>
      </w:r>
      <w:proofErr w:type="spellStart"/>
      <w:r w:rsidRPr="00D55ECC">
        <w:rPr>
          <w:rFonts w:ascii="Arial" w:hAnsi="Arial" w:cs="Arial"/>
          <w:sz w:val="24"/>
          <w:szCs w:val="24"/>
        </w:rPr>
        <w:t>pillars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: (1)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importance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 in </w:t>
      </w:r>
      <w:proofErr w:type="spellStart"/>
      <w:r w:rsidRPr="00D55ECC">
        <w:rPr>
          <w:rFonts w:ascii="Arial" w:hAnsi="Arial" w:cs="Arial"/>
          <w:sz w:val="24"/>
          <w:szCs w:val="24"/>
        </w:rPr>
        <w:t>both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citizen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training; (2)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use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as </w:t>
      </w:r>
      <w:proofErr w:type="spellStart"/>
      <w:r w:rsidRPr="00D55ECC">
        <w:rPr>
          <w:rFonts w:ascii="Arial" w:hAnsi="Arial" w:cs="Arial"/>
          <w:sz w:val="24"/>
          <w:szCs w:val="24"/>
        </w:rPr>
        <w:t>mechanisms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promote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boost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influence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approaches. The </w:t>
      </w:r>
      <w:proofErr w:type="spellStart"/>
      <w:r w:rsidRPr="00D55ECC">
        <w:rPr>
          <w:rFonts w:ascii="Arial" w:hAnsi="Arial" w:cs="Arial"/>
          <w:sz w:val="24"/>
          <w:szCs w:val="24"/>
        </w:rPr>
        <w:t>evaluation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pillars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based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literature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review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empirical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investigations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their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Goiás.</w:t>
      </w:r>
    </w:p>
    <w:p w14:paraId="371021D0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Goiás stands out as a </w:t>
      </w:r>
      <w:proofErr w:type="spellStart"/>
      <w:r w:rsidRPr="00D55ECC">
        <w:rPr>
          <w:rFonts w:ascii="Arial" w:hAnsi="Arial" w:cs="Arial"/>
          <w:sz w:val="24"/>
          <w:szCs w:val="24"/>
        </w:rPr>
        <w:t>significant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example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its </w:t>
      </w:r>
      <w:proofErr w:type="spellStart"/>
      <w:r w:rsidRPr="00D55ECC">
        <w:rPr>
          <w:rFonts w:ascii="Arial" w:hAnsi="Arial" w:cs="Arial"/>
          <w:sz w:val="24"/>
          <w:szCs w:val="24"/>
        </w:rPr>
        <w:t>participation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context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combining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traits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advancing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particular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professional training. The </w:t>
      </w:r>
      <w:proofErr w:type="spellStart"/>
      <w:r w:rsidRPr="00D55ECC">
        <w:rPr>
          <w:rFonts w:ascii="Arial" w:hAnsi="Arial" w:cs="Arial"/>
          <w:sz w:val="24"/>
          <w:szCs w:val="24"/>
        </w:rPr>
        <w:t>variety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requires a </w:t>
      </w:r>
      <w:proofErr w:type="spellStart"/>
      <w:r w:rsidRPr="00D55ECC">
        <w:rPr>
          <w:rFonts w:ascii="Arial" w:hAnsi="Arial" w:cs="Arial"/>
          <w:sz w:val="24"/>
          <w:szCs w:val="24"/>
        </w:rPr>
        <w:t>skilled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workforce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use </w:t>
      </w:r>
      <w:proofErr w:type="spellStart"/>
      <w:r w:rsidRPr="00D55ECC">
        <w:rPr>
          <w:rFonts w:ascii="Arial" w:hAnsi="Arial" w:cs="Arial"/>
          <w:sz w:val="24"/>
          <w:szCs w:val="24"/>
        </w:rPr>
        <w:t>cutting-edge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production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Thus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updating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align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global </w:t>
      </w:r>
      <w:proofErr w:type="spellStart"/>
      <w:r w:rsidRPr="00D55ECC">
        <w:rPr>
          <w:rFonts w:ascii="Arial" w:hAnsi="Arial" w:cs="Arial"/>
          <w:sz w:val="24"/>
          <w:szCs w:val="24"/>
        </w:rPr>
        <w:t>production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chains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minimize </w:t>
      </w:r>
      <w:proofErr w:type="spellStart"/>
      <w:r w:rsidRPr="00D55ECC">
        <w:rPr>
          <w:rFonts w:ascii="Arial" w:hAnsi="Arial" w:cs="Arial"/>
          <w:sz w:val="24"/>
          <w:szCs w:val="24"/>
        </w:rPr>
        <w:t>socioeconomic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inequalities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00EDF931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D55ECC">
        <w:rPr>
          <w:rFonts w:ascii="Arial" w:hAnsi="Arial" w:cs="Arial"/>
          <w:sz w:val="24"/>
          <w:szCs w:val="24"/>
        </w:rPr>
        <w:t>addition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collaborative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involving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various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stakeholders — </w:t>
      </w:r>
      <w:proofErr w:type="spellStart"/>
      <w:r w:rsidRPr="00D55ECC">
        <w:rPr>
          <w:rFonts w:ascii="Arial" w:hAnsi="Arial" w:cs="Arial"/>
          <w:sz w:val="24"/>
          <w:szCs w:val="24"/>
        </w:rPr>
        <w:t>including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governments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entities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business sector —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harmonize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communities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collaboration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Vocational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become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instrument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ensuring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advancement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occurs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tandem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sustainability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16B18933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lastRenderedPageBreak/>
        <w:t xml:space="preserve">It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said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(EPT), </w:t>
      </w:r>
      <w:proofErr w:type="spellStart"/>
      <w:r w:rsidRPr="00D55ECC">
        <w:rPr>
          <w:rFonts w:ascii="Arial" w:hAnsi="Arial" w:cs="Arial"/>
          <w:sz w:val="24"/>
          <w:szCs w:val="24"/>
        </w:rPr>
        <w:t>supported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potential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promote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advances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Goiás, </w:t>
      </w:r>
      <w:proofErr w:type="spellStart"/>
      <w:r w:rsidRPr="00D55ECC">
        <w:rPr>
          <w:rFonts w:ascii="Arial" w:hAnsi="Arial" w:cs="Arial"/>
          <w:sz w:val="24"/>
          <w:szCs w:val="24"/>
        </w:rPr>
        <w:t>acting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engine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change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for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initiatives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successful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crucial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consider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particularities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ensuring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plays a </w:t>
      </w:r>
      <w:proofErr w:type="spellStart"/>
      <w:r w:rsidRPr="00D55ECC">
        <w:rPr>
          <w:rFonts w:ascii="Arial" w:hAnsi="Arial" w:cs="Arial"/>
          <w:sz w:val="24"/>
          <w:szCs w:val="24"/>
        </w:rPr>
        <w:t>significant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role in </w:t>
      </w:r>
      <w:proofErr w:type="spellStart"/>
      <w:r w:rsidRPr="00D55ECC">
        <w:rPr>
          <w:rFonts w:ascii="Arial" w:hAnsi="Arial" w:cs="Arial"/>
          <w:sz w:val="24"/>
          <w:szCs w:val="24"/>
        </w:rPr>
        <w:t>shaping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more </w:t>
      </w:r>
      <w:proofErr w:type="spellStart"/>
      <w:r w:rsidRPr="00D55ECC">
        <w:rPr>
          <w:rFonts w:ascii="Arial" w:hAnsi="Arial" w:cs="Arial"/>
          <w:sz w:val="24"/>
          <w:szCs w:val="24"/>
        </w:rPr>
        <w:t>equitable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future.</w:t>
      </w:r>
    </w:p>
    <w:p w14:paraId="106F4806" w14:textId="77777777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7E9A32" w14:textId="150ECEA4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t>METHODOLOGY</w:t>
      </w:r>
    </w:p>
    <w:p w14:paraId="05EE4224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study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uses a </w:t>
      </w:r>
      <w:proofErr w:type="spellStart"/>
      <w:r w:rsidRPr="00D55ECC">
        <w:rPr>
          <w:rFonts w:ascii="Arial" w:hAnsi="Arial" w:cs="Arial"/>
          <w:sz w:val="24"/>
          <w:szCs w:val="24"/>
        </w:rPr>
        <w:t>qualitative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methodology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incorporation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quantitative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aspects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objective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investigating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connections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(EFA),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Goiás,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methodology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appropriate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as it </w:t>
      </w:r>
      <w:proofErr w:type="spellStart"/>
      <w:r w:rsidRPr="00D55ECC">
        <w:rPr>
          <w:rFonts w:ascii="Arial" w:hAnsi="Arial" w:cs="Arial"/>
          <w:sz w:val="24"/>
          <w:szCs w:val="24"/>
        </w:rPr>
        <w:t>allows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exploration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varied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complex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factors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pertinent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theme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combining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theoretical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analyses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practical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According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Flick (2009), </w:t>
      </w:r>
      <w:proofErr w:type="spellStart"/>
      <w:r w:rsidRPr="00D55ECC">
        <w:rPr>
          <w:rFonts w:ascii="Arial" w:hAnsi="Arial" w:cs="Arial"/>
          <w:sz w:val="24"/>
          <w:szCs w:val="24"/>
        </w:rPr>
        <w:t>qualitative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useful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understand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phenomena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complex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dynamic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within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their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context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Methodological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structured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three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main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stages</w:t>
      </w:r>
      <w:proofErr w:type="spellEnd"/>
      <w:r w:rsidRPr="00D55ECC">
        <w:rPr>
          <w:rFonts w:ascii="Arial" w:hAnsi="Arial" w:cs="Arial"/>
          <w:sz w:val="24"/>
          <w:szCs w:val="24"/>
        </w:rPr>
        <w:t>:</w:t>
      </w:r>
    </w:p>
    <w:p w14:paraId="206C079E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E2B9054" w14:textId="1D07B3C5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BIBLIOGRAPHIC AND DOCUMENTARY RESEARCH</w:t>
      </w:r>
    </w:p>
    <w:p w14:paraId="784CCAD7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initial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involves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literature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review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analysis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official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documents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D55ECC">
        <w:rPr>
          <w:rFonts w:ascii="Arial" w:hAnsi="Arial" w:cs="Arial"/>
          <w:sz w:val="24"/>
          <w:szCs w:val="24"/>
        </w:rPr>
        <w:t>order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theoretically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support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investigation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situate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subject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context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hAnsi="Arial" w:cs="Arial"/>
          <w:sz w:val="24"/>
          <w:szCs w:val="24"/>
        </w:rPr>
        <w:t>contributions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scholars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Minayo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(2012)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Bardin (2016) are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organize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qualitative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analysis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D55ECC">
        <w:rPr>
          <w:rFonts w:ascii="Arial" w:hAnsi="Arial" w:cs="Arial"/>
          <w:sz w:val="24"/>
          <w:szCs w:val="24"/>
        </w:rPr>
        <w:t>addition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institutional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reports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from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reliable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Brazilian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Geography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Statistics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(IBGE)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Ministry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(MEC), are </w:t>
      </w:r>
      <w:proofErr w:type="spellStart"/>
      <w:r w:rsidRPr="00D55ECC">
        <w:rPr>
          <w:rFonts w:ascii="Arial" w:hAnsi="Arial" w:cs="Arial"/>
          <w:sz w:val="24"/>
          <w:szCs w:val="24"/>
        </w:rPr>
        <w:t>collected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examine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Pronatec,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aim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strengthen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promote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region.</w:t>
      </w:r>
    </w:p>
    <w:p w14:paraId="350EA2A0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2B6B182" w14:textId="05802275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DATA COLLECTION AND ANALYSIS</w:t>
      </w:r>
    </w:p>
    <w:p w14:paraId="75C4916E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collection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primary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secondary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55ECC">
        <w:rPr>
          <w:rFonts w:ascii="Arial" w:hAnsi="Arial" w:cs="Arial"/>
          <w:sz w:val="24"/>
          <w:szCs w:val="24"/>
        </w:rPr>
        <w:t>aims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understand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training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Goiás. </w:t>
      </w:r>
      <w:proofErr w:type="spellStart"/>
      <w:r w:rsidRPr="00D55ECC">
        <w:rPr>
          <w:rFonts w:ascii="Arial" w:hAnsi="Arial" w:cs="Arial"/>
          <w:sz w:val="24"/>
          <w:szCs w:val="24"/>
        </w:rPr>
        <w:t>Numerical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obtained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from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IBGE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hAnsi="Arial" w:cs="Arial"/>
          <w:sz w:val="24"/>
          <w:szCs w:val="24"/>
        </w:rPr>
        <w:t>Observatory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qualitative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evaluated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through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content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analysis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methodology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suggested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Bardin (2016).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approach </w:t>
      </w:r>
      <w:proofErr w:type="spellStart"/>
      <w:r w:rsidRPr="00D55ECC">
        <w:rPr>
          <w:rFonts w:ascii="Arial" w:hAnsi="Arial" w:cs="Arial"/>
          <w:sz w:val="24"/>
          <w:szCs w:val="24"/>
        </w:rPr>
        <w:t>adheres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concept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triangulation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lastRenderedPageBreak/>
        <w:t>presented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Gil (2008),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consists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bringing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together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several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enhance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credibility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depth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conclusions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110C1490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57720EB" w14:textId="50762F9F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DISCUSSION AND VALIDATION OF CONCLUSIONS</w:t>
      </w:r>
    </w:p>
    <w:p w14:paraId="0636B1AA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concluding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findings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evaluated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based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existing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literature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evidence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collected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hAnsi="Arial" w:cs="Arial"/>
          <w:sz w:val="24"/>
          <w:szCs w:val="24"/>
        </w:rPr>
        <w:t>critical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analysis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takes </w:t>
      </w:r>
      <w:proofErr w:type="spellStart"/>
      <w:r w:rsidRPr="00D55ECC">
        <w:rPr>
          <w:rFonts w:ascii="Arial" w:hAnsi="Arial" w:cs="Arial"/>
          <w:sz w:val="24"/>
          <w:szCs w:val="24"/>
        </w:rPr>
        <w:t>into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account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repercussions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advancement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D55ECC">
        <w:rPr>
          <w:rFonts w:ascii="Arial" w:hAnsi="Arial" w:cs="Arial"/>
          <w:sz w:val="24"/>
          <w:szCs w:val="24"/>
        </w:rPr>
        <w:t>agreement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suggestions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authors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Sen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(2000), </w:t>
      </w:r>
      <w:proofErr w:type="spellStart"/>
      <w:r w:rsidRPr="00D55ECC">
        <w:rPr>
          <w:rFonts w:ascii="Arial" w:hAnsi="Arial" w:cs="Arial"/>
          <w:sz w:val="24"/>
          <w:szCs w:val="24"/>
        </w:rPr>
        <w:t>who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highlights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connection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human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capital </w:t>
      </w:r>
      <w:proofErr w:type="spellStart"/>
      <w:r w:rsidRPr="00D55ECC">
        <w:rPr>
          <w:rFonts w:ascii="Arial" w:hAnsi="Arial" w:cs="Arial"/>
          <w:sz w:val="24"/>
          <w:szCs w:val="24"/>
        </w:rPr>
        <w:t>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socioeconomic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evolution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hAnsi="Arial" w:cs="Arial"/>
          <w:sz w:val="24"/>
          <w:szCs w:val="24"/>
        </w:rPr>
        <w:t>conclusions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confirmed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congruence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55ECC">
        <w:rPr>
          <w:rFonts w:ascii="Arial" w:hAnsi="Arial" w:cs="Arial"/>
          <w:sz w:val="24"/>
          <w:szCs w:val="24"/>
        </w:rPr>
        <w:t>obtained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goals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suggesting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tactics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promote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engine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7B4A7583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5AFCC2F2" w14:textId="68DED764" w:rsidR="008972CA" w:rsidRPr="00D55ECC" w:rsidRDefault="008972CA" w:rsidP="00D55EC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t>RESULTS</w:t>
      </w:r>
    </w:p>
    <w:p w14:paraId="2DCFA1F2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findings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indicate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 in Goiás plays a crucial role in regional </w:t>
      </w:r>
      <w:proofErr w:type="spellStart"/>
      <w:r w:rsidRPr="00D55ECC">
        <w:rPr>
          <w:rFonts w:ascii="Arial" w:hAnsi="Arial" w:cs="Arial"/>
          <w:sz w:val="24"/>
          <w:szCs w:val="24"/>
        </w:rPr>
        <w:t>growth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</w:t>
      </w:r>
      <w:proofErr w:type="spellStart"/>
      <w:r w:rsidRPr="00D55ECC">
        <w:rPr>
          <w:rFonts w:ascii="Arial" w:hAnsi="Arial" w:cs="Arial"/>
          <w:sz w:val="24"/>
          <w:szCs w:val="24"/>
        </w:rPr>
        <w:t>Research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shows </w:t>
      </w:r>
      <w:proofErr w:type="spellStart"/>
      <w:r w:rsidRPr="00D55ECC">
        <w:rPr>
          <w:rFonts w:ascii="Arial" w:hAnsi="Arial" w:cs="Arial"/>
          <w:sz w:val="24"/>
          <w:szCs w:val="24"/>
        </w:rPr>
        <w:t>considerable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progress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expanding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updating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curricula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integrating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sector.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structural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financial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obstacles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still make it </w:t>
      </w:r>
      <w:proofErr w:type="spellStart"/>
      <w:r w:rsidRPr="00D55ECC">
        <w:rPr>
          <w:rFonts w:ascii="Arial" w:hAnsi="Arial" w:cs="Arial"/>
          <w:sz w:val="24"/>
          <w:szCs w:val="24"/>
        </w:rPr>
        <w:t>difficult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fully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harness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potential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EFA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agent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change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11848733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A6795F2" w14:textId="6F251B48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PROFESSIONAL AND TECHNOLOGICAL EDUCATION AS A VECTOR OF DEVELOPMENT</w:t>
      </w:r>
    </w:p>
    <w:p w14:paraId="02F04474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EFA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played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important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role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more </w:t>
      </w:r>
      <w:proofErr w:type="spellStart"/>
      <w:r w:rsidRPr="00D55ECC">
        <w:rPr>
          <w:rFonts w:ascii="Arial" w:hAnsi="Arial" w:cs="Arial"/>
          <w:sz w:val="24"/>
          <w:szCs w:val="24"/>
        </w:rPr>
        <w:t>qualified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workforce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mainly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through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initiatives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Pronatec,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availability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qualification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courses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groups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vulnerable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situations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(BRASIL, 2011).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expansion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promoted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greater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generated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job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opportunities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reinforcing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citizenship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reducing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inequalities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(MINAYO, 2012).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55ECC">
        <w:rPr>
          <w:rFonts w:ascii="Arial" w:hAnsi="Arial" w:cs="Arial"/>
          <w:sz w:val="24"/>
          <w:szCs w:val="24"/>
        </w:rPr>
        <w:t>reveal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a </w:t>
      </w:r>
      <w:proofErr w:type="spellStart"/>
      <w:r w:rsidRPr="00D55ECC">
        <w:rPr>
          <w:rFonts w:ascii="Arial" w:hAnsi="Arial" w:cs="Arial"/>
          <w:sz w:val="24"/>
          <w:szCs w:val="24"/>
        </w:rPr>
        <w:t>better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articulation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specific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often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lacks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joint </w:t>
      </w:r>
      <w:proofErr w:type="spellStart"/>
      <w:r w:rsidRPr="00D55ECC">
        <w:rPr>
          <w:rFonts w:ascii="Arial" w:hAnsi="Arial" w:cs="Arial"/>
          <w:sz w:val="24"/>
          <w:szCs w:val="24"/>
        </w:rPr>
        <w:t>strategic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planning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(GIL, 2008).</w:t>
      </w:r>
    </w:p>
    <w:p w14:paraId="567EB9F5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67EF1014" w14:textId="77777777" w:rsidR="00D55ECC" w:rsidRDefault="00D55ECC" w:rsidP="00D55EC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F9268C" w14:textId="77777777" w:rsidR="00D55ECC" w:rsidRDefault="00D55ECC" w:rsidP="00D55EC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A023C8" w14:textId="5948B94A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lastRenderedPageBreak/>
        <w:t>IMPACT OF ECONOMY 4.0 ON TRAINING AND THE MARKET</w:t>
      </w:r>
    </w:p>
    <w:p w14:paraId="7B89999A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introduction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context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 in Goiás </w:t>
      </w:r>
      <w:proofErr w:type="spellStart"/>
      <w:r w:rsidRPr="00D55ECC">
        <w:rPr>
          <w:rFonts w:ascii="Arial" w:hAnsi="Arial" w:cs="Arial"/>
          <w:sz w:val="24"/>
          <w:szCs w:val="24"/>
        </w:rPr>
        <w:t>demonstrates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growing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predominance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distinguished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automation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use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artificial </w:t>
      </w:r>
      <w:proofErr w:type="spellStart"/>
      <w:r w:rsidRPr="00D55ECC">
        <w:rPr>
          <w:rFonts w:ascii="Arial" w:hAnsi="Arial" w:cs="Arial"/>
          <w:sz w:val="24"/>
          <w:szCs w:val="24"/>
        </w:rPr>
        <w:t>intelligence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digitalization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Actions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incorporate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ECC">
        <w:rPr>
          <w:rFonts w:ascii="Arial" w:hAnsi="Arial" w:cs="Arial"/>
          <w:sz w:val="24"/>
          <w:szCs w:val="24"/>
        </w:rPr>
        <w:t>as digital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platforms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artificial </w:t>
      </w:r>
      <w:proofErr w:type="spellStart"/>
      <w:r w:rsidRPr="00D55ECC">
        <w:rPr>
          <w:rFonts w:ascii="Arial" w:hAnsi="Arial" w:cs="Arial"/>
          <w:sz w:val="24"/>
          <w:szCs w:val="24"/>
        </w:rPr>
        <w:t>intelligence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improved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customization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learning, </w:t>
      </w:r>
      <w:proofErr w:type="spellStart"/>
      <w:r w:rsidRPr="00D55ECC">
        <w:rPr>
          <w:rFonts w:ascii="Arial" w:hAnsi="Arial" w:cs="Arial"/>
          <w:sz w:val="24"/>
          <w:szCs w:val="24"/>
        </w:rPr>
        <w:t>preparing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global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(SCHWAB, 2016).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divide </w:t>
      </w:r>
      <w:proofErr w:type="spellStart"/>
      <w:r w:rsidRPr="00D55ECC">
        <w:rPr>
          <w:rFonts w:ascii="Arial" w:hAnsi="Arial" w:cs="Arial"/>
          <w:sz w:val="24"/>
          <w:szCs w:val="24"/>
        </w:rPr>
        <w:t>remains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significant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obstacle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rural </w:t>
      </w:r>
      <w:proofErr w:type="spellStart"/>
      <w:r w:rsidRPr="00D55ECC">
        <w:rPr>
          <w:rFonts w:ascii="Arial" w:hAnsi="Arial" w:cs="Arial"/>
          <w:sz w:val="24"/>
          <w:szCs w:val="24"/>
        </w:rPr>
        <w:t>areas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scarce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(BARDIN, 2016).</w:t>
      </w:r>
    </w:p>
    <w:p w14:paraId="580B5E4E" w14:textId="77777777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0F5E8C" w14:textId="4372CACB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PUBLIC POLICIES AND PARTNERSHIPS AS FOUNDATIONS OF PROGRESS</w:t>
      </w:r>
    </w:p>
    <w:p w14:paraId="28AAF29C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data </w:t>
      </w:r>
      <w:proofErr w:type="spellStart"/>
      <w:r w:rsidRPr="00D55ECC">
        <w:rPr>
          <w:rFonts w:ascii="Arial" w:hAnsi="Arial" w:cs="Arial"/>
          <w:sz w:val="24"/>
          <w:szCs w:val="24"/>
        </w:rPr>
        <w:t>indicate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relevant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policies, </w:t>
      </w:r>
      <w:proofErr w:type="spellStart"/>
      <w:r w:rsidRPr="00D55ECC">
        <w:rPr>
          <w:rFonts w:ascii="Arial" w:hAnsi="Arial" w:cs="Arial"/>
          <w:sz w:val="24"/>
          <w:szCs w:val="24"/>
        </w:rPr>
        <w:t>adapted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are </w:t>
      </w:r>
      <w:proofErr w:type="spellStart"/>
      <w:r w:rsidRPr="00D55ECC">
        <w:rPr>
          <w:rFonts w:ascii="Arial" w:hAnsi="Arial" w:cs="Arial"/>
          <w:sz w:val="24"/>
          <w:szCs w:val="24"/>
        </w:rPr>
        <w:t>implemented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becomes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catalyst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Projects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encourage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collaboration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industry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proven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D55ECC">
        <w:rPr>
          <w:rFonts w:ascii="Arial" w:hAnsi="Arial" w:cs="Arial"/>
          <w:sz w:val="24"/>
          <w:szCs w:val="24"/>
        </w:rPr>
        <w:t>efficient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meeting local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generating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job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opportunities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Goiás,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integration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still faces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due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scarcity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financial </w:t>
      </w:r>
      <w:proofErr w:type="spellStart"/>
      <w:r w:rsidRPr="00D55ECC">
        <w:rPr>
          <w:rFonts w:ascii="Arial" w:hAnsi="Arial" w:cs="Arial"/>
          <w:sz w:val="24"/>
          <w:szCs w:val="24"/>
        </w:rPr>
        <w:t>resources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disarticulation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policies.</w:t>
      </w:r>
    </w:p>
    <w:p w14:paraId="412A04AB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56B72332" w14:textId="47DE758C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SOCIAL INCLUSION AND SUSTAINABILITY</w:t>
      </w:r>
    </w:p>
    <w:p w14:paraId="4ACE23FC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D55ECC">
        <w:rPr>
          <w:rFonts w:ascii="Arial" w:hAnsi="Arial" w:cs="Arial"/>
          <w:sz w:val="24"/>
          <w:szCs w:val="24"/>
        </w:rPr>
        <w:t>Although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EFA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facilitated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still </w:t>
      </w:r>
      <w:proofErr w:type="spellStart"/>
      <w:r w:rsidRPr="00D55ECC">
        <w:rPr>
          <w:rFonts w:ascii="Arial" w:hAnsi="Arial" w:cs="Arial"/>
          <w:sz w:val="24"/>
          <w:szCs w:val="24"/>
        </w:rPr>
        <w:t>obstacles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achieving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fairer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hAnsi="Arial" w:cs="Arial"/>
          <w:sz w:val="24"/>
          <w:szCs w:val="24"/>
        </w:rPr>
        <w:t>lack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appropriate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inequality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represent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important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groups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vulnerable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situations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(MINAYO, 2012). In </w:t>
      </w:r>
      <w:proofErr w:type="spellStart"/>
      <w:r w:rsidRPr="00D55ECC">
        <w:rPr>
          <w:rFonts w:ascii="Arial" w:hAnsi="Arial" w:cs="Arial"/>
          <w:sz w:val="24"/>
          <w:szCs w:val="24"/>
        </w:rPr>
        <w:t>addition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viability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initiatives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conditional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regular </w:t>
      </w:r>
      <w:proofErr w:type="spellStart"/>
      <w:r w:rsidRPr="00D55ECC">
        <w:rPr>
          <w:rFonts w:ascii="Arial" w:hAnsi="Arial" w:cs="Arial"/>
          <w:sz w:val="24"/>
          <w:szCs w:val="24"/>
        </w:rPr>
        <w:t>investments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adaptation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incessant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transformations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D55ECC">
        <w:rPr>
          <w:rFonts w:ascii="Arial" w:hAnsi="Arial" w:cs="Arial"/>
          <w:sz w:val="24"/>
          <w:szCs w:val="24"/>
        </w:rPr>
        <w:t>requirement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made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even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D55ECC">
        <w:rPr>
          <w:rFonts w:ascii="Arial" w:hAnsi="Arial" w:cs="Arial"/>
          <w:sz w:val="24"/>
          <w:szCs w:val="24"/>
        </w:rPr>
        <w:t>pressing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(SCHWAB, 2016).</w:t>
      </w:r>
    </w:p>
    <w:p w14:paraId="614746D2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D370765" w14:textId="31394898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FUTURE PROSPECTS</w:t>
      </w:r>
    </w:p>
    <w:p w14:paraId="532384D5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results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final </w:t>
      </w:r>
      <w:proofErr w:type="spellStart"/>
      <w:r w:rsidRPr="00D55ECC">
        <w:rPr>
          <w:rFonts w:ascii="Arial" w:hAnsi="Arial" w:cs="Arial"/>
          <w:sz w:val="24"/>
          <w:szCs w:val="24"/>
        </w:rPr>
        <w:t>analysis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highlight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relevance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comprehensive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takes </w:t>
      </w:r>
      <w:proofErr w:type="spellStart"/>
      <w:r w:rsidRPr="00D55ECC">
        <w:rPr>
          <w:rFonts w:ascii="Arial" w:hAnsi="Arial" w:cs="Arial"/>
          <w:sz w:val="24"/>
          <w:szCs w:val="24"/>
        </w:rPr>
        <w:t>into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account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particularities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each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encourages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long-term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plans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Updating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curricula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training </w:t>
      </w:r>
      <w:proofErr w:type="spellStart"/>
      <w:r w:rsidRPr="00D55ECC">
        <w:rPr>
          <w:rFonts w:ascii="Arial" w:hAnsi="Arial" w:cs="Arial"/>
          <w:sz w:val="24"/>
          <w:szCs w:val="24"/>
        </w:rPr>
        <w:t>teachers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improving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crucial </w:t>
      </w:r>
      <w:proofErr w:type="spellStart"/>
      <w:r w:rsidRPr="00D55ECC">
        <w:rPr>
          <w:rFonts w:ascii="Arial" w:hAnsi="Arial" w:cs="Arial"/>
          <w:sz w:val="24"/>
          <w:szCs w:val="24"/>
        </w:rPr>
        <w:t>actions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optimize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gains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Goiás. The </w:t>
      </w:r>
      <w:proofErr w:type="spellStart"/>
      <w:r w:rsidRPr="00D55ECC">
        <w:rPr>
          <w:rFonts w:ascii="Arial" w:hAnsi="Arial" w:cs="Arial"/>
          <w:sz w:val="24"/>
          <w:szCs w:val="24"/>
        </w:rPr>
        <w:t>synergy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lastRenderedPageBreak/>
        <w:t>innovation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sector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vital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establish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environment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promotes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inclusive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meeting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global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without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disregarding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14ABC2BD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2326BEF8" w14:textId="68F9B6C4" w:rsidR="008972CA" w:rsidRPr="00D55ECC" w:rsidRDefault="008972CA" w:rsidP="00D55EC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t>DISCUSSION</w:t>
      </w:r>
    </w:p>
    <w:p w14:paraId="2078F255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examination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conducted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shows a panorama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advances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but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also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continuous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difficulties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 in Goiás stands out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element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regional </w:t>
      </w:r>
      <w:proofErr w:type="spellStart"/>
      <w:r w:rsidRPr="00D55ECC">
        <w:rPr>
          <w:rFonts w:ascii="Arial" w:hAnsi="Arial" w:cs="Arial"/>
          <w:sz w:val="24"/>
          <w:szCs w:val="24"/>
        </w:rPr>
        <w:t>growth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midst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progress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</w:t>
      </w:r>
      <w:proofErr w:type="spellStart"/>
      <w:r w:rsidRPr="00D55ECC">
        <w:rPr>
          <w:rFonts w:ascii="Arial" w:hAnsi="Arial" w:cs="Arial"/>
          <w:sz w:val="24"/>
          <w:szCs w:val="24"/>
        </w:rPr>
        <w:t>Despite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clear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advances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expansion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modernization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EFA, </w:t>
      </w:r>
      <w:proofErr w:type="spellStart"/>
      <w:r w:rsidRPr="00D55ECC">
        <w:rPr>
          <w:rFonts w:ascii="Arial" w:hAnsi="Arial" w:cs="Arial"/>
          <w:sz w:val="24"/>
          <w:szCs w:val="24"/>
        </w:rPr>
        <w:t>relevant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gaps </w:t>
      </w:r>
      <w:proofErr w:type="spellStart"/>
      <w:r w:rsidRPr="00D55ECC">
        <w:rPr>
          <w:rFonts w:ascii="Arial" w:hAnsi="Arial" w:cs="Arial"/>
          <w:sz w:val="24"/>
          <w:szCs w:val="24"/>
        </w:rPr>
        <w:t>remain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prevent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realization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its full </w:t>
      </w:r>
      <w:proofErr w:type="spellStart"/>
      <w:r w:rsidRPr="00D55ECC">
        <w:rPr>
          <w:rFonts w:ascii="Arial" w:hAnsi="Arial" w:cs="Arial"/>
          <w:sz w:val="24"/>
          <w:szCs w:val="24"/>
        </w:rPr>
        <w:t>potential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engine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14DF80F8" w14:textId="51B8BCB0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4.1 EFA AS A PILLAR OF REGIONAL DEVELOPMENT</w:t>
      </w:r>
    </w:p>
    <w:p w14:paraId="5D637565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research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confirms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idea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agent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transformation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less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favored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areas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Goiás. </w:t>
      </w:r>
      <w:proofErr w:type="spellStart"/>
      <w:r w:rsidRPr="00D55ECC">
        <w:rPr>
          <w:rFonts w:ascii="Arial" w:hAnsi="Arial" w:cs="Arial"/>
          <w:sz w:val="24"/>
          <w:szCs w:val="24"/>
        </w:rPr>
        <w:t>Initiatives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Pronatec, </w:t>
      </w:r>
      <w:proofErr w:type="spellStart"/>
      <w:r w:rsidRPr="00D55ECC">
        <w:rPr>
          <w:rFonts w:ascii="Arial" w:hAnsi="Arial" w:cs="Arial"/>
          <w:sz w:val="24"/>
          <w:szCs w:val="24"/>
        </w:rPr>
        <w:t>created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federal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have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proven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fundamental in </w:t>
      </w:r>
      <w:proofErr w:type="spellStart"/>
      <w:r w:rsidRPr="00D55ECC">
        <w:rPr>
          <w:rFonts w:ascii="Arial" w:hAnsi="Arial" w:cs="Arial"/>
          <w:sz w:val="24"/>
          <w:szCs w:val="24"/>
        </w:rPr>
        <w:t>facilitating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training for </w:t>
      </w:r>
      <w:proofErr w:type="spellStart"/>
      <w:r w:rsidRPr="00D55ECC">
        <w:rPr>
          <w:rFonts w:ascii="Arial" w:hAnsi="Arial" w:cs="Arial"/>
          <w:sz w:val="24"/>
          <w:szCs w:val="24"/>
        </w:rPr>
        <w:t>vulnerable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groups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As </w:t>
      </w:r>
      <w:proofErr w:type="spellStart"/>
      <w:r w:rsidRPr="00D55ECC">
        <w:rPr>
          <w:rFonts w:ascii="Arial" w:hAnsi="Arial" w:cs="Arial"/>
          <w:sz w:val="24"/>
          <w:szCs w:val="24"/>
        </w:rPr>
        <w:t>Sen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(2000) points out,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increase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freedom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both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individual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social,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providing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individuals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necessary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skills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live a full </w:t>
      </w:r>
      <w:proofErr w:type="spellStart"/>
      <w:r w:rsidRPr="00D55ECC">
        <w:rPr>
          <w:rFonts w:ascii="Arial" w:hAnsi="Arial" w:cs="Arial"/>
          <w:sz w:val="24"/>
          <w:szCs w:val="24"/>
        </w:rPr>
        <w:t>citizenship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growth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supply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qualification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courses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highlighted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urgent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better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collaboration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various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parties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involved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including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sector. Gil (2008) points out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lack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synergy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protagonists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result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programs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55ECC">
        <w:rPr>
          <w:rFonts w:ascii="Arial" w:hAnsi="Arial" w:cs="Arial"/>
          <w:sz w:val="24"/>
          <w:szCs w:val="24"/>
        </w:rPr>
        <w:t>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real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harming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effectiveness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aimed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qualification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4B9B9296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Goiás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combines </w:t>
      </w:r>
      <w:proofErr w:type="spellStart"/>
      <w:r w:rsidRPr="00D55ECC">
        <w:rPr>
          <w:rFonts w:ascii="Arial" w:hAnsi="Arial" w:cs="Arial"/>
          <w:sz w:val="24"/>
          <w:szCs w:val="24"/>
        </w:rPr>
        <w:t>several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ECC">
        <w:rPr>
          <w:rFonts w:ascii="Arial" w:hAnsi="Arial" w:cs="Arial"/>
          <w:sz w:val="24"/>
          <w:szCs w:val="24"/>
        </w:rPr>
        <w:t>as agribusiness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industry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services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requires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takes </w:t>
      </w:r>
      <w:proofErr w:type="spellStart"/>
      <w:r w:rsidRPr="00D55ECC">
        <w:rPr>
          <w:rFonts w:ascii="Arial" w:hAnsi="Arial" w:cs="Arial"/>
          <w:sz w:val="24"/>
          <w:szCs w:val="24"/>
        </w:rPr>
        <w:t>into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account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particularities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areas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data show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several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occasions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available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aligned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situation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corroborates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observation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Schwab (2016), </w:t>
      </w:r>
      <w:proofErr w:type="spellStart"/>
      <w:r w:rsidRPr="00D55ECC">
        <w:rPr>
          <w:rFonts w:ascii="Arial" w:hAnsi="Arial" w:cs="Arial"/>
          <w:sz w:val="24"/>
          <w:szCs w:val="24"/>
        </w:rPr>
        <w:t>who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argues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requires a </w:t>
      </w:r>
      <w:proofErr w:type="spellStart"/>
      <w:r w:rsidRPr="00D55ECC">
        <w:rPr>
          <w:rFonts w:ascii="Arial" w:hAnsi="Arial" w:cs="Arial"/>
          <w:sz w:val="24"/>
          <w:szCs w:val="24"/>
        </w:rPr>
        <w:t>continuous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updating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systems in response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digital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automated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realities.</w:t>
      </w:r>
    </w:p>
    <w:p w14:paraId="2A5357BD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23EE2EEE" w14:textId="77777777" w:rsidR="00D55ECC" w:rsidRDefault="00D55ECC" w:rsidP="00D55EC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59BFEE" w14:textId="3C18F14F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lastRenderedPageBreak/>
        <w:t>CHALLENGES OF ECONOMY 4.0 AND THE NEED FOR TECHNOLOGICAL TRAINING</w:t>
      </w:r>
    </w:p>
    <w:p w14:paraId="4024F83C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effect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guidelines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 </w:t>
      </w:r>
      <w:proofErr w:type="spellStart"/>
      <w:r w:rsidRPr="00D55ECC">
        <w:rPr>
          <w:rFonts w:ascii="Arial" w:hAnsi="Arial" w:cs="Arial"/>
          <w:sz w:val="24"/>
          <w:szCs w:val="24"/>
        </w:rPr>
        <w:t>was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main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aspects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analyzed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work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ECC">
        <w:rPr>
          <w:rFonts w:ascii="Arial" w:hAnsi="Arial" w:cs="Arial"/>
          <w:sz w:val="24"/>
          <w:szCs w:val="24"/>
        </w:rPr>
        <w:t>as artificial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intelligence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data </w:t>
      </w:r>
      <w:proofErr w:type="spellStart"/>
      <w:r w:rsidRPr="00D55ECC">
        <w:rPr>
          <w:rFonts w:ascii="Arial" w:hAnsi="Arial" w:cs="Arial"/>
          <w:sz w:val="24"/>
          <w:szCs w:val="24"/>
        </w:rPr>
        <w:t>analytics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automation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transforming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skills </w:t>
      </w:r>
      <w:proofErr w:type="spellStart"/>
      <w:r w:rsidRPr="00D55ECC">
        <w:rPr>
          <w:rFonts w:ascii="Arial" w:hAnsi="Arial" w:cs="Arial"/>
          <w:sz w:val="24"/>
          <w:szCs w:val="24"/>
        </w:rPr>
        <w:t>demanded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putting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pressure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systems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modernize </w:t>
      </w:r>
      <w:proofErr w:type="spellStart"/>
      <w:r w:rsidRPr="00D55ECC">
        <w:rPr>
          <w:rFonts w:ascii="Arial" w:hAnsi="Arial" w:cs="Arial"/>
          <w:sz w:val="24"/>
          <w:szCs w:val="24"/>
        </w:rPr>
        <w:t>rapidly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(Schwab, 2016). The </w:t>
      </w:r>
      <w:proofErr w:type="spellStart"/>
      <w:r w:rsidRPr="00D55ECC">
        <w:rPr>
          <w:rFonts w:ascii="Arial" w:hAnsi="Arial" w:cs="Arial"/>
          <w:sz w:val="24"/>
          <w:szCs w:val="24"/>
        </w:rPr>
        <w:t>investigation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revealed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striving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adjust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their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curricula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integrate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teaching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learning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but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still face </w:t>
      </w:r>
      <w:proofErr w:type="spellStart"/>
      <w:r w:rsidRPr="00D55ECC">
        <w:rPr>
          <w:rFonts w:ascii="Arial" w:hAnsi="Arial" w:cs="Arial"/>
          <w:sz w:val="24"/>
          <w:szCs w:val="24"/>
        </w:rPr>
        <w:t>considerable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obstacles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related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teacher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training.</w:t>
      </w:r>
    </w:p>
    <w:p w14:paraId="6553E96A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adoption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Vocational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offers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chance </w:t>
      </w:r>
      <w:proofErr w:type="spellStart"/>
      <w:r w:rsidRPr="00D55ECC">
        <w:rPr>
          <w:rFonts w:ascii="Arial" w:hAnsi="Arial" w:cs="Arial"/>
          <w:sz w:val="24"/>
          <w:szCs w:val="24"/>
        </w:rPr>
        <w:t>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upgrade </w:t>
      </w:r>
      <w:proofErr w:type="spellStart"/>
      <w:r w:rsidRPr="00D55ECC">
        <w:rPr>
          <w:rFonts w:ascii="Arial" w:hAnsi="Arial" w:cs="Arial"/>
          <w:sz w:val="24"/>
          <w:szCs w:val="24"/>
        </w:rPr>
        <w:t>teaching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but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also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customize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learning </w:t>
      </w:r>
      <w:proofErr w:type="spellStart"/>
      <w:r w:rsidRPr="00D55ECC">
        <w:rPr>
          <w:rFonts w:ascii="Arial" w:hAnsi="Arial" w:cs="Arial"/>
          <w:sz w:val="24"/>
          <w:szCs w:val="24"/>
        </w:rPr>
        <w:t>experience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result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a </w:t>
      </w:r>
      <w:proofErr w:type="spellStart"/>
      <w:r w:rsidRPr="00D55ECC">
        <w:rPr>
          <w:rFonts w:ascii="Arial" w:hAnsi="Arial" w:cs="Arial"/>
          <w:sz w:val="24"/>
          <w:szCs w:val="24"/>
        </w:rPr>
        <w:t>higher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rate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employability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(Bardin, 2016). The </w:t>
      </w:r>
      <w:proofErr w:type="spellStart"/>
      <w:r w:rsidRPr="00D55ECC">
        <w:rPr>
          <w:rFonts w:ascii="Arial" w:hAnsi="Arial" w:cs="Arial"/>
          <w:sz w:val="24"/>
          <w:szCs w:val="24"/>
        </w:rPr>
        <w:t>combination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tools, artificial </w:t>
      </w:r>
      <w:proofErr w:type="spellStart"/>
      <w:r w:rsidRPr="00D55ECC">
        <w:rPr>
          <w:rFonts w:ascii="Arial" w:hAnsi="Arial" w:cs="Arial"/>
          <w:sz w:val="24"/>
          <w:szCs w:val="24"/>
        </w:rPr>
        <w:t>intelligence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augmented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reality, for </w:t>
      </w:r>
      <w:proofErr w:type="spellStart"/>
      <w:r w:rsidRPr="00D55ECC">
        <w:rPr>
          <w:rFonts w:ascii="Arial" w:hAnsi="Arial" w:cs="Arial"/>
          <w:sz w:val="24"/>
          <w:szCs w:val="24"/>
        </w:rPr>
        <w:t>example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provides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more </w:t>
      </w:r>
      <w:proofErr w:type="spellStart"/>
      <w:r w:rsidRPr="00D55ECC">
        <w:rPr>
          <w:rFonts w:ascii="Arial" w:hAnsi="Arial" w:cs="Arial"/>
          <w:sz w:val="24"/>
          <w:szCs w:val="24"/>
        </w:rPr>
        <w:t>adaptable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learning </w:t>
      </w:r>
      <w:proofErr w:type="spellStart"/>
      <w:r w:rsidRPr="00D55ECC">
        <w:rPr>
          <w:rFonts w:ascii="Arial" w:hAnsi="Arial" w:cs="Arial"/>
          <w:sz w:val="24"/>
          <w:szCs w:val="24"/>
        </w:rPr>
        <w:t>method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aligned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particularities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each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D55ECC">
        <w:rPr>
          <w:rFonts w:ascii="Arial" w:hAnsi="Arial" w:cs="Arial"/>
          <w:sz w:val="24"/>
          <w:szCs w:val="24"/>
        </w:rPr>
        <w:t>addition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expanding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remote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locations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(Schwab, 2016). </w:t>
      </w:r>
      <w:proofErr w:type="spellStart"/>
      <w:r w:rsidRPr="00D55ECC">
        <w:rPr>
          <w:rFonts w:ascii="Arial" w:hAnsi="Arial" w:cs="Arial"/>
          <w:sz w:val="24"/>
          <w:szCs w:val="24"/>
        </w:rPr>
        <w:t>However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lack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remains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considerable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challenge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rural </w:t>
      </w:r>
      <w:proofErr w:type="spellStart"/>
      <w:r w:rsidRPr="00D55ECC">
        <w:rPr>
          <w:rFonts w:ascii="Arial" w:hAnsi="Arial" w:cs="Arial"/>
          <w:sz w:val="24"/>
          <w:szCs w:val="24"/>
        </w:rPr>
        <w:t>regions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Goiás, </w:t>
      </w:r>
      <w:proofErr w:type="spellStart"/>
      <w:r w:rsidRPr="00D55ECC">
        <w:rPr>
          <w:rFonts w:ascii="Arial" w:hAnsi="Arial" w:cs="Arial"/>
          <w:sz w:val="24"/>
          <w:szCs w:val="24"/>
        </w:rPr>
        <w:t>where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contact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restricted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reality </w:t>
      </w:r>
      <w:proofErr w:type="spellStart"/>
      <w:r w:rsidRPr="00D55ECC">
        <w:rPr>
          <w:rFonts w:ascii="Arial" w:hAnsi="Arial" w:cs="Arial"/>
          <w:sz w:val="24"/>
          <w:szCs w:val="24"/>
        </w:rPr>
        <w:t>reinforces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concern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Minayo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(2012), </w:t>
      </w:r>
      <w:proofErr w:type="spellStart"/>
      <w:r w:rsidRPr="00D55ECC">
        <w:rPr>
          <w:rFonts w:ascii="Arial" w:hAnsi="Arial" w:cs="Arial"/>
          <w:sz w:val="24"/>
          <w:szCs w:val="24"/>
        </w:rPr>
        <w:t>who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identifies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divide as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element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accentuate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differences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instead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attenuating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inclusive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plans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skills are </w:t>
      </w:r>
      <w:proofErr w:type="spellStart"/>
      <w:r w:rsidRPr="00D55ECC">
        <w:rPr>
          <w:rFonts w:ascii="Arial" w:hAnsi="Arial" w:cs="Arial"/>
          <w:sz w:val="24"/>
          <w:szCs w:val="24"/>
        </w:rPr>
        <w:t>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created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5F2E7C9F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156FB5EF" w14:textId="2A530569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PUBLIC POLICIES: POTENTIALITIES AND LIMITATIONS</w:t>
      </w:r>
    </w:p>
    <w:p w14:paraId="79A340F3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investigation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related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Pronatec, </w:t>
      </w:r>
      <w:proofErr w:type="spellStart"/>
      <w:r w:rsidRPr="00D55ECC">
        <w:rPr>
          <w:rFonts w:ascii="Arial" w:hAnsi="Arial" w:cs="Arial"/>
          <w:sz w:val="24"/>
          <w:szCs w:val="24"/>
        </w:rPr>
        <w:t>revealed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despite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its </w:t>
      </w:r>
      <w:proofErr w:type="spellStart"/>
      <w:r w:rsidRPr="00D55ECC">
        <w:rPr>
          <w:rFonts w:ascii="Arial" w:hAnsi="Arial" w:cs="Arial"/>
          <w:sz w:val="24"/>
          <w:szCs w:val="24"/>
        </w:rPr>
        <w:t>potential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expand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budget </w:t>
      </w:r>
      <w:proofErr w:type="spellStart"/>
      <w:r w:rsidRPr="00D55ECC">
        <w:rPr>
          <w:rFonts w:ascii="Arial" w:hAnsi="Arial" w:cs="Arial"/>
          <w:sz w:val="24"/>
          <w:szCs w:val="24"/>
        </w:rPr>
        <w:t>constraints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absence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collaboration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various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levels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still make it </w:t>
      </w:r>
      <w:proofErr w:type="spellStart"/>
      <w:r w:rsidRPr="00D55ECC">
        <w:rPr>
          <w:rFonts w:ascii="Arial" w:hAnsi="Arial" w:cs="Arial"/>
          <w:sz w:val="24"/>
          <w:szCs w:val="24"/>
        </w:rPr>
        <w:t>challenging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implement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D55ECC">
        <w:rPr>
          <w:rFonts w:ascii="Arial" w:hAnsi="Arial" w:cs="Arial"/>
          <w:sz w:val="24"/>
          <w:szCs w:val="24"/>
        </w:rPr>
        <w:t>effective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solutions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D55ECC">
        <w:rPr>
          <w:rFonts w:ascii="Arial" w:hAnsi="Arial" w:cs="Arial"/>
          <w:sz w:val="24"/>
          <w:szCs w:val="24"/>
        </w:rPr>
        <w:t>study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also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indicated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in Goiás </w:t>
      </w:r>
      <w:proofErr w:type="spellStart"/>
      <w:r w:rsidRPr="00D55ECC">
        <w:rPr>
          <w:rFonts w:ascii="Arial" w:hAnsi="Arial" w:cs="Arial"/>
          <w:sz w:val="24"/>
          <w:szCs w:val="24"/>
        </w:rPr>
        <w:t>need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closer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articulation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professional training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introduced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Gil (2008) points out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effectiveness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policy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linked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adapt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realities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synergy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initiatives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interests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sector. In Goiás,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lack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unified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vision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resulted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a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D55ECC">
        <w:rPr>
          <w:rFonts w:ascii="Arial" w:hAnsi="Arial" w:cs="Arial"/>
          <w:sz w:val="24"/>
          <w:szCs w:val="24"/>
        </w:rPr>
        <w:t>offer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several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occasions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does </w:t>
      </w:r>
      <w:proofErr w:type="spellStart"/>
      <w:r w:rsidRPr="00D55ECC">
        <w:rPr>
          <w:rFonts w:ascii="Arial" w:hAnsi="Arial" w:cs="Arial"/>
          <w:sz w:val="24"/>
          <w:szCs w:val="24"/>
        </w:rPr>
        <w:t>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adequately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requirements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06FFB426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lastRenderedPageBreak/>
        <w:t xml:space="preserve">In </w:t>
      </w:r>
      <w:proofErr w:type="spellStart"/>
      <w:r w:rsidRPr="00D55ECC">
        <w:rPr>
          <w:rFonts w:ascii="Arial" w:hAnsi="Arial" w:cs="Arial"/>
          <w:sz w:val="24"/>
          <w:szCs w:val="24"/>
        </w:rPr>
        <w:t>addition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limitation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financial </w:t>
      </w:r>
      <w:proofErr w:type="spellStart"/>
      <w:r w:rsidRPr="00D55ECC">
        <w:rPr>
          <w:rFonts w:ascii="Arial" w:hAnsi="Arial" w:cs="Arial"/>
          <w:sz w:val="24"/>
          <w:szCs w:val="24"/>
        </w:rPr>
        <w:t>resources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insufficiency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have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proven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important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barriers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effectiveness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quality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(EPT). </w:t>
      </w:r>
      <w:proofErr w:type="spellStart"/>
      <w:r w:rsidRPr="00D55ECC">
        <w:rPr>
          <w:rFonts w:ascii="Arial" w:hAnsi="Arial" w:cs="Arial"/>
          <w:sz w:val="24"/>
          <w:szCs w:val="24"/>
        </w:rPr>
        <w:t>Sen's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(2000) </w:t>
      </w:r>
      <w:proofErr w:type="spellStart"/>
      <w:r w:rsidRPr="00D55ECC">
        <w:rPr>
          <w:rFonts w:ascii="Arial" w:hAnsi="Arial" w:cs="Arial"/>
          <w:sz w:val="24"/>
          <w:szCs w:val="24"/>
        </w:rPr>
        <w:t>observation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relates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progress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availability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relevant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Goiás. </w:t>
      </w:r>
      <w:proofErr w:type="spellStart"/>
      <w:r w:rsidRPr="00D55ECC">
        <w:rPr>
          <w:rFonts w:ascii="Arial" w:hAnsi="Arial" w:cs="Arial"/>
          <w:sz w:val="24"/>
          <w:szCs w:val="24"/>
        </w:rPr>
        <w:t>Without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system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enables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modernization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schools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adequate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EFA </w:t>
      </w:r>
      <w:proofErr w:type="spellStart"/>
      <w:r w:rsidRPr="00D55ECC">
        <w:rPr>
          <w:rFonts w:ascii="Arial" w:hAnsi="Arial" w:cs="Arial"/>
          <w:sz w:val="24"/>
          <w:szCs w:val="24"/>
        </w:rPr>
        <w:t>cannot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reach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its </w:t>
      </w:r>
      <w:proofErr w:type="spellStart"/>
      <w:r w:rsidRPr="00D55ECC">
        <w:rPr>
          <w:rFonts w:ascii="Arial" w:hAnsi="Arial" w:cs="Arial"/>
          <w:sz w:val="24"/>
          <w:szCs w:val="24"/>
        </w:rPr>
        <w:t>maximum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potential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social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transformation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09920B85" w14:textId="77777777" w:rsidR="008972CA" w:rsidRPr="00D55ECC" w:rsidRDefault="008972CA" w:rsidP="00D55EC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AED1AD" w14:textId="1702DDB7" w:rsidR="008972CA" w:rsidRPr="00D55ECC" w:rsidRDefault="008972CA" w:rsidP="00D55EC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>THE ROLE OF EDUCATIONAL INNOVATION FOR SUSTAINABLE DEVELOPMENT</w:t>
      </w:r>
    </w:p>
    <w:p w14:paraId="3FAE9258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D55ECC">
        <w:rPr>
          <w:rFonts w:ascii="Arial" w:hAnsi="Arial" w:cs="Arial"/>
          <w:sz w:val="24"/>
          <w:szCs w:val="24"/>
        </w:rPr>
        <w:t>One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most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relevant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conclusions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(EPT), </w:t>
      </w:r>
      <w:proofErr w:type="spellStart"/>
      <w:r w:rsidRPr="00D55ECC">
        <w:rPr>
          <w:rFonts w:ascii="Arial" w:hAnsi="Arial" w:cs="Arial"/>
          <w:sz w:val="24"/>
          <w:szCs w:val="24"/>
        </w:rPr>
        <w:t>when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properly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organized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aligned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policies,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play a fundamental role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inclusive </w:t>
      </w:r>
      <w:proofErr w:type="spellStart"/>
      <w:r w:rsidRPr="00D55ECC">
        <w:rPr>
          <w:rFonts w:ascii="Arial" w:hAnsi="Arial" w:cs="Arial"/>
          <w:sz w:val="24"/>
          <w:szCs w:val="24"/>
        </w:rPr>
        <w:t>advancement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Goiás. The </w:t>
      </w:r>
      <w:proofErr w:type="spellStart"/>
      <w:r w:rsidRPr="00D55ECC">
        <w:rPr>
          <w:rFonts w:ascii="Arial" w:hAnsi="Arial" w:cs="Arial"/>
          <w:sz w:val="24"/>
          <w:szCs w:val="24"/>
        </w:rPr>
        <w:t>interconnection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promising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way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ensure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next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generations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workers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prepared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achieve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D55ECC">
        <w:rPr>
          <w:rFonts w:ascii="Arial" w:hAnsi="Arial" w:cs="Arial"/>
          <w:sz w:val="24"/>
          <w:szCs w:val="24"/>
        </w:rPr>
        <w:t>continuous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effort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aimed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modernizing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curricula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training </w:t>
      </w:r>
      <w:proofErr w:type="spellStart"/>
      <w:r w:rsidRPr="00D55ECC">
        <w:rPr>
          <w:rFonts w:ascii="Arial" w:hAnsi="Arial" w:cs="Arial"/>
          <w:sz w:val="24"/>
          <w:szCs w:val="24"/>
        </w:rPr>
        <w:t>teachers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investing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vital.</w:t>
      </w:r>
    </w:p>
    <w:p w14:paraId="27311229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D55ECC">
        <w:rPr>
          <w:rFonts w:ascii="Arial" w:hAnsi="Arial" w:cs="Arial"/>
          <w:sz w:val="24"/>
          <w:szCs w:val="24"/>
        </w:rPr>
        <w:t>conclusion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findings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research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highlight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relevance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comprehensive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continuous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takes </w:t>
      </w:r>
      <w:proofErr w:type="spellStart"/>
      <w:r w:rsidRPr="00D55ECC">
        <w:rPr>
          <w:rFonts w:ascii="Arial" w:hAnsi="Arial" w:cs="Arial"/>
          <w:sz w:val="24"/>
          <w:szCs w:val="24"/>
        </w:rPr>
        <w:t>into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account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particularities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each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region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promotes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collaboration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various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Only </w:t>
      </w:r>
      <w:proofErr w:type="spellStart"/>
      <w:r w:rsidRPr="00D55ECC">
        <w:rPr>
          <w:rFonts w:ascii="Arial" w:hAnsi="Arial" w:cs="Arial"/>
          <w:sz w:val="24"/>
          <w:szCs w:val="24"/>
        </w:rPr>
        <w:t>through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in tune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together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application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will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feasible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ensure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inclusive regional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offering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opportunities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all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citizens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Goiás.</w:t>
      </w:r>
    </w:p>
    <w:p w14:paraId="209280B8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30AA722F" w14:textId="7FDE2421" w:rsidR="008972CA" w:rsidRPr="00D55ECC" w:rsidRDefault="008972CA" w:rsidP="00D55EC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t>CONCLUSION</w:t>
      </w:r>
    </w:p>
    <w:p w14:paraId="15EB4194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55ECC">
        <w:rPr>
          <w:rFonts w:ascii="Arial" w:hAnsi="Arial" w:cs="Arial"/>
          <w:sz w:val="24"/>
          <w:szCs w:val="24"/>
        </w:rPr>
        <w:t>purpose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study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investigate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connections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(EFA),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Goiás, </w:t>
      </w:r>
      <w:proofErr w:type="spellStart"/>
      <w:r w:rsidRPr="00D55ECC">
        <w:rPr>
          <w:rFonts w:ascii="Arial" w:hAnsi="Arial" w:cs="Arial"/>
          <w:sz w:val="24"/>
          <w:szCs w:val="24"/>
        </w:rPr>
        <w:t>inserted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</w:t>
      </w:r>
      <w:proofErr w:type="spellStart"/>
      <w:r w:rsidRPr="00D55ECC">
        <w:rPr>
          <w:rFonts w:ascii="Arial" w:hAnsi="Arial" w:cs="Arial"/>
          <w:sz w:val="24"/>
          <w:szCs w:val="24"/>
        </w:rPr>
        <w:t>Using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qualitative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methodology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together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with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quantitative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data, it </w:t>
      </w:r>
      <w:proofErr w:type="spellStart"/>
      <w:r w:rsidRPr="00D55ECC">
        <w:rPr>
          <w:rFonts w:ascii="Arial" w:hAnsi="Arial" w:cs="Arial"/>
          <w:sz w:val="24"/>
          <w:szCs w:val="24"/>
        </w:rPr>
        <w:t>was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feasible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perceive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role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EFA as a </w:t>
      </w:r>
      <w:proofErr w:type="spellStart"/>
      <w:r w:rsidRPr="00D55ECC">
        <w:rPr>
          <w:rFonts w:ascii="Arial" w:hAnsi="Arial" w:cs="Arial"/>
          <w:sz w:val="24"/>
          <w:szCs w:val="24"/>
        </w:rPr>
        <w:t>significant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driver for regional </w:t>
      </w:r>
      <w:proofErr w:type="spellStart"/>
      <w:r w:rsidRPr="00D55ECC">
        <w:rPr>
          <w:rFonts w:ascii="Arial" w:hAnsi="Arial" w:cs="Arial"/>
          <w:sz w:val="24"/>
          <w:szCs w:val="24"/>
        </w:rPr>
        <w:t>advancement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D55ECC">
        <w:rPr>
          <w:rFonts w:ascii="Arial" w:hAnsi="Arial" w:cs="Arial"/>
          <w:sz w:val="24"/>
          <w:szCs w:val="24"/>
        </w:rPr>
        <w:t>addition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identifying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structural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urgency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more </w:t>
      </w:r>
      <w:proofErr w:type="spellStart"/>
      <w:r w:rsidRPr="00D55ECC">
        <w:rPr>
          <w:rFonts w:ascii="Arial" w:hAnsi="Arial" w:cs="Arial"/>
          <w:sz w:val="24"/>
          <w:szCs w:val="24"/>
        </w:rPr>
        <w:t>efficient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adaptation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7D3F8FB2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lastRenderedPageBreak/>
        <w:t xml:space="preserve">The data show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although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Goiás </w:t>
      </w:r>
      <w:proofErr w:type="spellStart"/>
      <w:r w:rsidRPr="00D55ECC">
        <w:rPr>
          <w:rFonts w:ascii="Arial" w:hAnsi="Arial" w:cs="Arial"/>
          <w:sz w:val="24"/>
          <w:szCs w:val="24"/>
        </w:rPr>
        <w:t>has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made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progress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execution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initiatives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Pronatec, </w:t>
      </w:r>
      <w:proofErr w:type="spellStart"/>
      <w:r w:rsidRPr="00D55ECC">
        <w:rPr>
          <w:rFonts w:ascii="Arial" w:hAnsi="Arial" w:cs="Arial"/>
          <w:sz w:val="24"/>
          <w:szCs w:val="24"/>
        </w:rPr>
        <w:t>there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disconnect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availability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courses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specific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emerging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productive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such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ECC">
        <w:rPr>
          <w:rFonts w:ascii="Arial" w:hAnsi="Arial" w:cs="Arial"/>
          <w:sz w:val="24"/>
          <w:szCs w:val="24"/>
        </w:rPr>
        <w:t>as agribusiness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industry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 </w:t>
      </w:r>
      <w:proofErr w:type="spellStart"/>
      <w:r w:rsidRPr="00D55ECC">
        <w:rPr>
          <w:rFonts w:ascii="Arial" w:hAnsi="Arial" w:cs="Arial"/>
          <w:sz w:val="24"/>
          <w:szCs w:val="24"/>
        </w:rPr>
        <w:t>Although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aimed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are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there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still </w:t>
      </w:r>
      <w:proofErr w:type="spellStart"/>
      <w:r w:rsidRPr="00D55ECC">
        <w:rPr>
          <w:rFonts w:ascii="Arial" w:hAnsi="Arial" w:cs="Arial"/>
          <w:sz w:val="24"/>
          <w:szCs w:val="24"/>
        </w:rPr>
        <w:t>obstacles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cooperation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different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agents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include </w:t>
      </w:r>
      <w:proofErr w:type="spellStart"/>
      <w:r w:rsidRPr="00D55ECC">
        <w:rPr>
          <w:rFonts w:ascii="Arial" w:hAnsi="Arial" w:cs="Arial"/>
          <w:sz w:val="24"/>
          <w:szCs w:val="24"/>
        </w:rPr>
        <w:t>government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institutions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private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sector. The </w:t>
      </w:r>
      <w:proofErr w:type="spellStart"/>
      <w:r w:rsidRPr="00D55ECC">
        <w:rPr>
          <w:rFonts w:ascii="Arial" w:hAnsi="Arial" w:cs="Arial"/>
          <w:sz w:val="24"/>
          <w:szCs w:val="24"/>
        </w:rPr>
        <w:t>adaptation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real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requirements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 </w:t>
      </w:r>
      <w:proofErr w:type="spellStart"/>
      <w:r w:rsidRPr="00D55ECC">
        <w:rPr>
          <w:rFonts w:ascii="Arial" w:hAnsi="Arial" w:cs="Arial"/>
          <w:sz w:val="24"/>
          <w:szCs w:val="24"/>
        </w:rPr>
        <w:t>remains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challenge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faced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0A78A411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4.0, </w:t>
      </w:r>
      <w:proofErr w:type="spellStart"/>
      <w:r w:rsidRPr="00D55ECC">
        <w:rPr>
          <w:rFonts w:ascii="Arial" w:hAnsi="Arial" w:cs="Arial"/>
          <w:sz w:val="24"/>
          <w:szCs w:val="24"/>
        </w:rPr>
        <w:t>characterized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innovations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creates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environment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accelerated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change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demands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well-trained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flexible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professionals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scenario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updated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adopting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cutting-edge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creative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teaching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methods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Digital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fair </w:t>
      </w:r>
      <w:proofErr w:type="spellStart"/>
      <w:r w:rsidRPr="00D55ECC">
        <w:rPr>
          <w:rFonts w:ascii="Arial" w:hAnsi="Arial" w:cs="Arial"/>
          <w:sz w:val="24"/>
          <w:szCs w:val="24"/>
        </w:rPr>
        <w:t>access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ECC">
        <w:rPr>
          <w:rFonts w:ascii="Arial" w:hAnsi="Arial" w:cs="Arial"/>
          <w:sz w:val="24"/>
          <w:szCs w:val="24"/>
        </w:rPr>
        <w:t>new tools are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essential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aspects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ensure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D55ECC">
        <w:rPr>
          <w:rFonts w:ascii="Arial" w:hAnsi="Arial" w:cs="Arial"/>
          <w:sz w:val="24"/>
          <w:szCs w:val="24"/>
        </w:rPr>
        <w:t>vulnerable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groups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especially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rural </w:t>
      </w:r>
      <w:proofErr w:type="spellStart"/>
      <w:r w:rsidRPr="00D55ECC">
        <w:rPr>
          <w:rFonts w:ascii="Arial" w:hAnsi="Arial" w:cs="Arial"/>
          <w:sz w:val="24"/>
          <w:szCs w:val="24"/>
        </w:rPr>
        <w:t>regions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peripheries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can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actively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participate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transformation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process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513AD227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D55ECC">
        <w:rPr>
          <w:rFonts w:ascii="Arial" w:hAnsi="Arial" w:cs="Arial"/>
          <w:sz w:val="24"/>
          <w:szCs w:val="24"/>
        </w:rPr>
        <w:t>This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work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highlights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(EFA) </w:t>
      </w:r>
      <w:proofErr w:type="spellStart"/>
      <w:r w:rsidRPr="00D55ECC">
        <w:rPr>
          <w:rFonts w:ascii="Arial" w:hAnsi="Arial" w:cs="Arial"/>
          <w:sz w:val="24"/>
          <w:szCs w:val="24"/>
        </w:rPr>
        <w:t>should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a tool for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qualification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but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D55ECC">
        <w:rPr>
          <w:rFonts w:ascii="Arial" w:hAnsi="Arial" w:cs="Arial"/>
          <w:sz w:val="24"/>
          <w:szCs w:val="24"/>
        </w:rPr>
        <w:t>means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promote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changes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contributing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D55ECC">
        <w:rPr>
          <w:rFonts w:ascii="Arial" w:hAnsi="Arial" w:cs="Arial"/>
          <w:sz w:val="24"/>
          <w:szCs w:val="24"/>
        </w:rPr>
        <w:t>inclusion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5ECC">
        <w:rPr>
          <w:rFonts w:ascii="Arial" w:hAnsi="Arial" w:cs="Arial"/>
          <w:sz w:val="24"/>
          <w:szCs w:val="24"/>
        </w:rPr>
        <w:t>Thus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must cover </w:t>
      </w:r>
      <w:proofErr w:type="spellStart"/>
      <w:r w:rsidRPr="00D55ECC">
        <w:rPr>
          <w:rFonts w:ascii="Arial" w:hAnsi="Arial" w:cs="Arial"/>
          <w:sz w:val="24"/>
          <w:szCs w:val="24"/>
        </w:rPr>
        <w:t>not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only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skills, </w:t>
      </w:r>
      <w:proofErr w:type="spellStart"/>
      <w:r w:rsidRPr="00D55ECC">
        <w:rPr>
          <w:rFonts w:ascii="Arial" w:hAnsi="Arial" w:cs="Arial"/>
          <w:sz w:val="24"/>
          <w:szCs w:val="24"/>
        </w:rPr>
        <w:t>but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also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socio-</w:t>
      </w:r>
      <w:proofErr w:type="spellStart"/>
      <w:r w:rsidRPr="00D55ECC">
        <w:rPr>
          <w:rFonts w:ascii="Arial" w:hAnsi="Arial" w:cs="Arial"/>
          <w:sz w:val="24"/>
          <w:szCs w:val="24"/>
        </w:rPr>
        <w:t>emotional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skills, </w:t>
      </w:r>
      <w:proofErr w:type="spellStart"/>
      <w:r w:rsidRPr="00D55ECC">
        <w:rPr>
          <w:rFonts w:ascii="Arial" w:hAnsi="Arial" w:cs="Arial"/>
          <w:sz w:val="24"/>
          <w:szCs w:val="24"/>
        </w:rPr>
        <w:t>which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becoming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increasingly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necessary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a labor </w:t>
      </w:r>
      <w:proofErr w:type="spellStart"/>
      <w:r w:rsidRPr="00D55ECC">
        <w:rPr>
          <w:rFonts w:ascii="Arial" w:hAnsi="Arial" w:cs="Arial"/>
          <w:sz w:val="24"/>
          <w:szCs w:val="24"/>
        </w:rPr>
        <w:t>market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globalized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automated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589D01ED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t xml:space="preserve">In short,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findings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indicate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pressing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increase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application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resources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educational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infrastructure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train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teachers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use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new </w:t>
      </w:r>
      <w:proofErr w:type="spellStart"/>
      <w:r w:rsidRPr="00D55ECC">
        <w:rPr>
          <w:rFonts w:ascii="Arial" w:hAnsi="Arial" w:cs="Arial"/>
          <w:sz w:val="24"/>
          <w:szCs w:val="24"/>
        </w:rPr>
        <w:t>technologies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strengthen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collaboration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between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private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sectors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. Only </w:t>
      </w:r>
      <w:proofErr w:type="spellStart"/>
      <w:r w:rsidRPr="00D55ECC">
        <w:rPr>
          <w:rFonts w:ascii="Arial" w:hAnsi="Arial" w:cs="Arial"/>
          <w:sz w:val="24"/>
          <w:szCs w:val="24"/>
        </w:rPr>
        <w:t>through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integrated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coordinated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among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various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stakeholders </w:t>
      </w:r>
      <w:proofErr w:type="spellStart"/>
      <w:r w:rsidRPr="00D55ECC">
        <w:rPr>
          <w:rFonts w:ascii="Arial" w:hAnsi="Arial" w:cs="Arial"/>
          <w:sz w:val="24"/>
          <w:szCs w:val="24"/>
        </w:rPr>
        <w:t>will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D55ECC">
        <w:rPr>
          <w:rFonts w:ascii="Arial" w:hAnsi="Arial" w:cs="Arial"/>
          <w:sz w:val="24"/>
          <w:szCs w:val="24"/>
        </w:rPr>
        <w:t>be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feasible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55ECC">
        <w:rPr>
          <w:rFonts w:ascii="Arial" w:hAnsi="Arial" w:cs="Arial"/>
          <w:sz w:val="24"/>
          <w:szCs w:val="24"/>
        </w:rPr>
        <w:t>transform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</w:t>
      </w:r>
      <w:proofErr w:type="gram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Technological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into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55ECC">
        <w:rPr>
          <w:rFonts w:ascii="Arial" w:hAnsi="Arial" w:cs="Arial"/>
          <w:sz w:val="24"/>
          <w:szCs w:val="24"/>
        </w:rPr>
        <w:t>true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engine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D55ECC">
        <w:rPr>
          <w:rFonts w:ascii="Arial" w:hAnsi="Arial" w:cs="Arial"/>
          <w:sz w:val="24"/>
          <w:szCs w:val="24"/>
        </w:rPr>
        <w:t>development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that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helps build a more </w:t>
      </w:r>
      <w:proofErr w:type="spellStart"/>
      <w:r w:rsidRPr="00D55ECC">
        <w:rPr>
          <w:rFonts w:ascii="Arial" w:hAnsi="Arial" w:cs="Arial"/>
          <w:sz w:val="24"/>
          <w:szCs w:val="24"/>
        </w:rPr>
        <w:t>equitable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sustainable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future for Goiás. The </w:t>
      </w:r>
      <w:proofErr w:type="spellStart"/>
      <w:r w:rsidRPr="00D55ECC">
        <w:rPr>
          <w:rFonts w:ascii="Arial" w:hAnsi="Arial" w:cs="Arial"/>
          <w:sz w:val="24"/>
          <w:szCs w:val="24"/>
        </w:rPr>
        <w:t>combination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effective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public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policies,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strategic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application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technology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updating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D55ECC">
        <w:rPr>
          <w:rFonts w:ascii="Arial" w:hAnsi="Arial" w:cs="Arial"/>
          <w:sz w:val="24"/>
          <w:szCs w:val="24"/>
        </w:rPr>
        <w:t>education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55ECC">
        <w:rPr>
          <w:rFonts w:ascii="Arial" w:hAnsi="Arial" w:cs="Arial"/>
          <w:sz w:val="24"/>
          <w:szCs w:val="24"/>
        </w:rPr>
        <w:t>key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to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preparing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next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generations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workers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and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citizens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D55ECC">
        <w:rPr>
          <w:rFonts w:ascii="Arial" w:hAnsi="Arial" w:cs="Arial"/>
          <w:sz w:val="24"/>
          <w:szCs w:val="24"/>
        </w:rPr>
        <w:t>the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challenges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of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ECC">
        <w:rPr>
          <w:rFonts w:ascii="Arial" w:hAnsi="Arial" w:cs="Arial"/>
          <w:sz w:val="24"/>
          <w:szCs w:val="24"/>
        </w:rPr>
        <w:t>Economy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 4.0.</w:t>
      </w:r>
    </w:p>
    <w:p w14:paraId="1A5FC02F" w14:textId="77777777" w:rsidR="008972CA" w:rsidRPr="00D55ECC" w:rsidRDefault="008972CA" w:rsidP="00D55ECC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665C91CE" w14:textId="77777777" w:rsidR="008972CA" w:rsidRPr="00D55ECC" w:rsidRDefault="008972CA" w:rsidP="00D55ECC">
      <w:pPr>
        <w:pStyle w:val="PargrafodaLista"/>
        <w:numPr>
          <w:ilvl w:val="0"/>
          <w:numId w:val="22"/>
        </w:num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55ECC">
        <w:rPr>
          <w:rFonts w:ascii="Arial" w:hAnsi="Arial" w:cs="Arial"/>
          <w:sz w:val="24"/>
          <w:szCs w:val="24"/>
        </w:rPr>
        <w:br w:type="page"/>
      </w:r>
    </w:p>
    <w:p w14:paraId="085277A9" w14:textId="77777777" w:rsidR="008972CA" w:rsidRPr="00D55ECC" w:rsidRDefault="008972CA" w:rsidP="00D55E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5ECC">
        <w:rPr>
          <w:rFonts w:ascii="Arial" w:hAnsi="Arial" w:cs="Arial"/>
          <w:b/>
          <w:bCs/>
          <w:sz w:val="24"/>
          <w:szCs w:val="24"/>
        </w:rPr>
        <w:lastRenderedPageBreak/>
        <w:t>REFERENCES</w:t>
      </w:r>
    </w:p>
    <w:p w14:paraId="5EC5507B" w14:textId="77777777" w:rsidR="008972CA" w:rsidRPr="00D55ECC" w:rsidRDefault="008972CA" w:rsidP="00D55E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EB9433" w14:textId="756A5F40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D55ECC">
        <w:rPr>
          <w:rFonts w:ascii="Arial" w:hAnsi="Arial" w:cs="Arial"/>
          <w:sz w:val="24"/>
          <w:szCs w:val="24"/>
        </w:rPr>
        <w:t>Bardin, L. (2016). Análise de conteúdo (4ª ed.). São Paulo: Edições 70.</w:t>
      </w:r>
    </w:p>
    <w:p w14:paraId="73A110FC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515970D" w14:textId="3C33F4C8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55ECC">
        <w:rPr>
          <w:rFonts w:ascii="Arial" w:hAnsi="Arial" w:cs="Arial"/>
          <w:sz w:val="24"/>
          <w:szCs w:val="24"/>
        </w:rPr>
        <w:t>Brasil. Ministério da Educação. (2011). Política Nacional de Educação Profissional e Tecnológica - Pronatec. Brasília.</w:t>
      </w:r>
    </w:p>
    <w:p w14:paraId="285078CF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23761AF" w14:textId="608036AE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55ECC">
        <w:rPr>
          <w:rFonts w:ascii="Arial" w:hAnsi="Arial" w:cs="Arial"/>
          <w:sz w:val="24"/>
          <w:szCs w:val="24"/>
        </w:rPr>
        <w:t>Carvalho, M. A. (2020). Inovações tecnológicas na Educação Profissional: Inteligência Artificial e a ampliação das oportunidades educacionais. Revista de Tecnologias Educacionais, 22(1), 45-60.</w:t>
      </w:r>
    </w:p>
    <w:p w14:paraId="11AB512A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745582E2" w14:textId="50F41BBA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D55ECC">
        <w:rPr>
          <w:rFonts w:ascii="Arial" w:hAnsi="Arial" w:cs="Arial"/>
          <w:sz w:val="24"/>
          <w:szCs w:val="24"/>
        </w:rPr>
        <w:t>Filippim</w:t>
      </w:r>
      <w:proofErr w:type="spellEnd"/>
      <w:r w:rsidRPr="00D55ECC">
        <w:rPr>
          <w:rFonts w:ascii="Arial" w:hAnsi="Arial" w:cs="Arial"/>
          <w:sz w:val="24"/>
          <w:szCs w:val="24"/>
        </w:rPr>
        <w:t xml:space="preserve">, E. S., &amp; Moreschi, R. K. (2020). Educação Profissional e Tecnológica para o Desenvolvimento Regional no Brasil: a atuação do Instituto Federal de Santa Catarina. Desenvolvimento em Questão, 18(52), 216-232. Disponível em: Revista da </w:t>
      </w:r>
      <w:proofErr w:type="spellStart"/>
      <w:r w:rsidRPr="00D55ECC">
        <w:rPr>
          <w:rFonts w:ascii="Arial" w:hAnsi="Arial" w:cs="Arial"/>
          <w:sz w:val="24"/>
          <w:szCs w:val="24"/>
        </w:rPr>
        <w:t>Unijui</w:t>
      </w:r>
      <w:proofErr w:type="spellEnd"/>
      <w:r w:rsidRPr="00D55ECC">
        <w:rPr>
          <w:rFonts w:ascii="Arial" w:hAnsi="Arial" w:cs="Arial"/>
          <w:sz w:val="24"/>
          <w:szCs w:val="24"/>
        </w:rPr>
        <w:t>. Acesso em: 9 jan. 2025.</w:t>
      </w:r>
    </w:p>
    <w:p w14:paraId="0F8B1503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5B1BFC5" w14:textId="5FBF99AA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D55ECC">
        <w:rPr>
          <w:rFonts w:ascii="Arial" w:hAnsi="Arial" w:cs="Arial"/>
          <w:sz w:val="24"/>
          <w:szCs w:val="24"/>
        </w:rPr>
        <w:t>Flick, U. (2009). Introdução à pesquisa qualitativa (4ª ed.). Porto Alegre: Artmed.</w:t>
      </w:r>
    </w:p>
    <w:p w14:paraId="6F16E4CC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C544617" w14:textId="312AC991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D55ECC">
        <w:rPr>
          <w:rFonts w:ascii="Arial" w:hAnsi="Arial" w:cs="Arial"/>
          <w:sz w:val="24"/>
          <w:szCs w:val="24"/>
        </w:rPr>
        <w:t>Gil, A. C. (2008). Métodos e técnicas de pesquisa social (7ª ed.). São Paulo: Atlas.</w:t>
      </w:r>
    </w:p>
    <w:p w14:paraId="2811D46C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F0EF492" w14:textId="631F1C2A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D55ECC">
        <w:rPr>
          <w:rFonts w:ascii="Arial" w:hAnsi="Arial" w:cs="Arial"/>
          <w:sz w:val="24"/>
          <w:szCs w:val="24"/>
        </w:rPr>
        <w:t>Gomes, A. P., &amp; Santos, L. L. (2022). A importância da educação profissional no desenvolvimento regional. Revista Brasileira de Educação Profissional, 12(3), 120-134.</w:t>
      </w:r>
    </w:p>
    <w:p w14:paraId="0BC96DDE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988958B" w14:textId="6F1EFEBE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D55ECC">
        <w:rPr>
          <w:rFonts w:ascii="Arial" w:hAnsi="Arial" w:cs="Arial"/>
          <w:sz w:val="24"/>
          <w:szCs w:val="24"/>
        </w:rPr>
        <w:t>Minayo</w:t>
      </w:r>
      <w:proofErr w:type="spellEnd"/>
      <w:r w:rsidRPr="00D55ECC">
        <w:rPr>
          <w:rFonts w:ascii="Arial" w:hAnsi="Arial" w:cs="Arial"/>
          <w:sz w:val="24"/>
          <w:szCs w:val="24"/>
        </w:rPr>
        <w:t>, M. C. S. (2012). O desafio do conhecimento: Pesquisa qualitativa em saúde (13ª ed.). São Paulo: Hucitec.</w:t>
      </w:r>
    </w:p>
    <w:p w14:paraId="17DDE2AB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64D868D" w14:textId="559C476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D55ECC">
        <w:rPr>
          <w:rFonts w:ascii="Arial" w:hAnsi="Arial" w:cs="Arial"/>
          <w:sz w:val="24"/>
          <w:szCs w:val="24"/>
        </w:rPr>
        <w:t>Oliveira, J. R., &amp; Costa, F. S. (2023). Desafios na implementação de tecnologias na Educação Profissional: Inclusão digital e formação de professores. Educação e Tecnologia, 18(4), 78-92.</w:t>
      </w:r>
    </w:p>
    <w:p w14:paraId="572F8D30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6484C98" w14:textId="37E9FB66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D55ECC">
        <w:rPr>
          <w:rFonts w:ascii="Arial" w:hAnsi="Arial" w:cs="Arial"/>
          <w:sz w:val="24"/>
          <w:szCs w:val="24"/>
        </w:rPr>
        <w:t>Santos, L. B. dos, Pereira, A. I. S., Ribeiro, F. A. A., Madeira, K. M. L., &amp; Lira, C. D. D. (2020). Pronatec Campo - possibilidades &amp; desafios: um estudo de caso a partir da prática do psicólogo educacional na educação profissional e tecnológica. Revista Brasileira da Educação Profissional e Tecnológica, 2(19). Disponível em: IFRN. Acesso em: 5 jan. 2025.</w:t>
      </w:r>
    </w:p>
    <w:p w14:paraId="2EAF3B1C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37B7D7D" w14:textId="4E909AF8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Pr="00D55ECC">
        <w:rPr>
          <w:rFonts w:ascii="Arial" w:hAnsi="Arial" w:cs="Arial"/>
          <w:sz w:val="24"/>
          <w:szCs w:val="24"/>
        </w:rPr>
        <w:t xml:space="preserve">Schwab, K. (2016). A quarta revolução industrial. São Paulo: </w:t>
      </w:r>
      <w:proofErr w:type="spellStart"/>
      <w:r w:rsidRPr="00D55ECC">
        <w:rPr>
          <w:rFonts w:ascii="Arial" w:hAnsi="Arial" w:cs="Arial"/>
          <w:sz w:val="24"/>
          <w:szCs w:val="24"/>
        </w:rPr>
        <w:t>Edipro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0389CF7F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8E9FF9F" w14:textId="247C5B43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D55ECC">
        <w:rPr>
          <w:rFonts w:ascii="Arial" w:hAnsi="Arial" w:cs="Arial"/>
          <w:sz w:val="24"/>
          <w:szCs w:val="24"/>
        </w:rPr>
        <w:t xml:space="preserve">Schwab, K. (2016). A quarta revolução industrial (Trad. Daniel Moreira Miranda). São Paulo: </w:t>
      </w:r>
      <w:proofErr w:type="spellStart"/>
      <w:r w:rsidRPr="00D55ECC">
        <w:rPr>
          <w:rFonts w:ascii="Arial" w:hAnsi="Arial" w:cs="Arial"/>
          <w:sz w:val="24"/>
          <w:szCs w:val="24"/>
        </w:rPr>
        <w:t>Edipro</w:t>
      </w:r>
      <w:proofErr w:type="spellEnd"/>
      <w:r w:rsidRPr="00D55ECC">
        <w:rPr>
          <w:rFonts w:ascii="Arial" w:hAnsi="Arial" w:cs="Arial"/>
          <w:sz w:val="24"/>
          <w:szCs w:val="24"/>
        </w:rPr>
        <w:t>.</w:t>
      </w:r>
    </w:p>
    <w:p w14:paraId="2400515A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B3DB453" w14:textId="13254B06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D55ECC">
        <w:rPr>
          <w:rFonts w:ascii="Arial" w:hAnsi="Arial" w:cs="Arial"/>
          <w:sz w:val="24"/>
          <w:szCs w:val="24"/>
        </w:rPr>
        <w:t>Sen</w:t>
      </w:r>
      <w:proofErr w:type="spellEnd"/>
      <w:r w:rsidRPr="00D55ECC">
        <w:rPr>
          <w:rFonts w:ascii="Arial" w:hAnsi="Arial" w:cs="Arial"/>
          <w:sz w:val="24"/>
          <w:szCs w:val="24"/>
        </w:rPr>
        <w:t>, A. (2000). Desenvolvimento como liberdade. São Paulo: Companhia das Letras.</w:t>
      </w:r>
    </w:p>
    <w:p w14:paraId="493BAAB2" w14:textId="77777777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11040A4" w14:textId="5CBF84B5" w:rsidR="00D55ECC" w:rsidRPr="00D55ECC" w:rsidRDefault="00D55ECC" w:rsidP="00D55EC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Pr="00D55ECC">
        <w:rPr>
          <w:rFonts w:ascii="Arial" w:hAnsi="Arial" w:cs="Arial"/>
          <w:sz w:val="24"/>
          <w:szCs w:val="24"/>
        </w:rPr>
        <w:t>Silva, N. C., &amp; Neves, C. M. (2023). Integração entre tecnologias e metodologias ativas na educação 4.0. Revista Livre de Estudos Interdisciplinares, 1(18), 1374-1935. Disponível em: https://periodicos.newsciencepubl.com/LEV/article/download/1374/1935. Acesso em: 5 jan. 2025.</w:t>
      </w:r>
    </w:p>
    <w:p w14:paraId="004F665F" w14:textId="3852D77A" w:rsidR="00B760AE" w:rsidRPr="00D55ECC" w:rsidRDefault="00D55ECC" w:rsidP="00D55ECC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15. </w:t>
      </w:r>
      <w:r w:rsidRPr="00D55ECC">
        <w:rPr>
          <w:rFonts w:ascii="Arial" w:hAnsi="Arial" w:cs="Arial"/>
          <w:sz w:val="24"/>
          <w:szCs w:val="24"/>
        </w:rPr>
        <w:t>Silva, R. F., &amp; Almeida, S. C. (2018). Políticas públicas para Educação Profissional e o desenvolvimento regional: Análise crítica da integração com a Economia 4.0. Revista Brasileira de Políticas Públicas, 16(2), 99-112.</w:t>
      </w:r>
    </w:p>
    <w:sectPr w:rsidR="00B760AE" w:rsidRPr="00D55ECC" w:rsidSect="008972CA">
      <w:type w:val="continuous"/>
      <w:pgSz w:w="11906" w:h="16838"/>
      <w:pgMar w:top="1985" w:right="1133" w:bottom="1077" w:left="1077" w:header="737" w:footer="709" w:gutter="0"/>
      <w:pgNumType w:start="18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657F" w14:textId="77777777" w:rsidR="002E7984" w:rsidRDefault="002E7984" w:rsidP="00BE6C76">
      <w:pPr>
        <w:spacing w:after="0" w:line="240" w:lineRule="auto"/>
      </w:pPr>
      <w:r>
        <w:separator/>
      </w:r>
    </w:p>
  </w:endnote>
  <w:endnote w:type="continuationSeparator" w:id="0">
    <w:p w14:paraId="4A7AB908" w14:textId="77777777" w:rsidR="002E7984" w:rsidRDefault="002E7984" w:rsidP="00BE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47D9" w14:textId="15019279" w:rsidR="002C64B5" w:rsidRDefault="00AB286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85CEC2B" wp14:editId="12617AE5">
              <wp:simplePos x="0" y="0"/>
              <wp:positionH relativeFrom="rightMargin">
                <wp:align>left</wp:align>
              </wp:positionH>
              <wp:positionV relativeFrom="paragraph">
                <wp:posOffset>228600</wp:posOffset>
              </wp:positionV>
              <wp:extent cx="629285" cy="240665"/>
              <wp:effectExtent l="0" t="0" r="0" b="6985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CE4388" w14:textId="77777777" w:rsidR="00AB2864" w:rsidRPr="00C44B99" w:rsidRDefault="00AB2864" w:rsidP="00AB286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Pr="00C44B9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CEC2B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0;margin-top:18pt;width:49.55pt;height:18.95pt;z-index:251688960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" filled="f" stroked="f" strokeweight=".5pt">
              <v:textbox>
                <w:txbxContent>
                  <w:p w14:paraId="45CE4388" w14:textId="77777777" w:rsidR="00AB2864" w:rsidRPr="00C44B99" w:rsidRDefault="00AB2864" w:rsidP="00AB2864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>PAGE   \* MERGEFORMAT</w:instrText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Pr="00C44B9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5562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E1F0DAB" wp14:editId="0D425BF3">
              <wp:simplePos x="0" y="0"/>
              <wp:positionH relativeFrom="column">
                <wp:posOffset>821055</wp:posOffset>
              </wp:positionH>
              <wp:positionV relativeFrom="paragraph">
                <wp:posOffset>82550</wp:posOffset>
              </wp:positionV>
              <wp:extent cx="4747895" cy="381000"/>
              <wp:effectExtent l="0" t="0" r="0" b="0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4A9FC" w14:textId="4185D7A2" w:rsidR="00D05562" w:rsidRPr="00EF7BFF" w:rsidRDefault="00D05562" w:rsidP="00D0556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ARACÊ MAGAZINE, São José dos Pinhais, v.7, n.1, p.1849-1859, 2025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F0DAB" id="Caixa de Texto 2" o:spid="_x0000_s1027" type="#_x0000_t202" style="position:absolute;margin-left:64.65pt;margin-top:6.5pt;width:373.8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EWGg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" filled="f" stroked="f" strokeweight=".5pt">
              <v:textbox>
                <w:txbxContent>
                  <w:p w14:paraId="2C74A9FC" w14:textId="4185D7A2" w:rsidR="00D05562" w:rsidRPr="00EF7BFF" w:rsidRDefault="00D05562" w:rsidP="00D0556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ARACÊ MAGAZINE, São José dos Pinhais, v.7, n.1, p.1849-1859, 2025 </w:t>
                    </w:r>
                  </w:p>
                </w:txbxContent>
              </v:textbox>
            </v:shape>
          </w:pict>
        </mc:Fallback>
      </mc:AlternateContent>
    </w:r>
    <w:r w:rsidR="00D0556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E3C7CAD" wp14:editId="4A46C6A2">
              <wp:simplePos x="0" y="0"/>
              <wp:positionH relativeFrom="margin">
                <wp:posOffset>678815</wp:posOffset>
              </wp:positionH>
              <wp:positionV relativeFrom="paragraph">
                <wp:posOffset>0</wp:posOffset>
              </wp:positionV>
              <wp:extent cx="5629275" cy="19050"/>
              <wp:effectExtent l="0" t="0" r="28575" b="19050"/>
              <wp:wrapNone/>
              <wp:docPr id="15701748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19050"/>
                      </a:xfrm>
                      <a:prstGeom prst="line">
                        <a:avLst/>
                      </a:prstGeom>
                      <a:ln>
                        <a:solidFill>
                          <a:srgbClr val="FEA32D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to 2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fea32d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" from="53.45pt,0" to="496.7pt,1.5pt" w14:anchorId="1F04AA5B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92B5" w14:textId="77777777" w:rsidR="002E7984" w:rsidRDefault="002E7984" w:rsidP="00BE6C76">
      <w:pPr>
        <w:spacing w:after="0" w:line="240" w:lineRule="auto"/>
      </w:pPr>
      <w:r>
        <w:separator/>
      </w:r>
    </w:p>
  </w:footnote>
  <w:footnote w:type="continuationSeparator" w:id="0">
    <w:p w14:paraId="35DBF21B" w14:textId="77777777" w:rsidR="002E7984" w:rsidRDefault="002E7984" w:rsidP="00BE6C76">
      <w:pPr>
        <w:spacing w:after="0" w:line="240" w:lineRule="auto"/>
      </w:pPr>
      <w:r>
        <w:continuationSeparator/>
      </w:r>
    </w:p>
  </w:footnote>
  <w:footnote w:id="1">
    <w:p w14:paraId="7438107B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Style w:val="Refdenotaderodap"/>
          <w:sz w:val="20"/>
          <w:szCs w:val="20"/>
        </w:rPr>
        <w:footnoteRef/>
      </w:r>
      <w:r w:rsidRPr="00D55ECC">
        <w:rPr>
          <w:sz w:val="20"/>
          <w:szCs w:val="20"/>
        </w:rPr>
        <w:t xml:space="preserve"> </w:t>
      </w:r>
      <w:r w:rsidRPr="00D55ECC">
        <w:rPr>
          <w:rFonts w:ascii="Arial" w:hAnsi="Arial" w:cs="Arial"/>
          <w:sz w:val="20"/>
          <w:szCs w:val="20"/>
        </w:rPr>
        <w:t xml:space="preserve">Professional </w:t>
      </w:r>
      <w:proofErr w:type="spellStart"/>
      <w:r w:rsidRPr="00D55ECC">
        <w:rPr>
          <w:rFonts w:ascii="Arial" w:hAnsi="Arial" w:cs="Arial"/>
          <w:sz w:val="20"/>
          <w:szCs w:val="20"/>
        </w:rPr>
        <w:t>Master's</w:t>
      </w:r>
      <w:proofErr w:type="spellEnd"/>
      <w:r w:rsidRPr="00D55E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5ECC">
        <w:rPr>
          <w:rFonts w:ascii="Arial" w:hAnsi="Arial" w:cs="Arial"/>
          <w:sz w:val="20"/>
          <w:szCs w:val="20"/>
        </w:rPr>
        <w:t>Degree</w:t>
      </w:r>
      <w:proofErr w:type="spellEnd"/>
      <w:r w:rsidRPr="00D55ECC">
        <w:rPr>
          <w:rFonts w:ascii="Arial" w:hAnsi="Arial" w:cs="Arial"/>
          <w:sz w:val="20"/>
          <w:szCs w:val="20"/>
        </w:rPr>
        <w:t xml:space="preserve"> in Regional </w:t>
      </w:r>
      <w:proofErr w:type="spellStart"/>
      <w:r w:rsidRPr="00D55ECC">
        <w:rPr>
          <w:rFonts w:ascii="Arial" w:hAnsi="Arial" w:cs="Arial"/>
          <w:sz w:val="20"/>
          <w:szCs w:val="20"/>
        </w:rPr>
        <w:t>Development</w:t>
      </w:r>
      <w:proofErr w:type="spellEnd"/>
    </w:p>
    <w:p w14:paraId="25DD4675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Fonts w:ascii="Arial" w:hAnsi="Arial" w:cs="Arial"/>
          <w:sz w:val="20"/>
          <w:szCs w:val="20"/>
        </w:rPr>
        <w:t xml:space="preserve">Alves Faria </w:t>
      </w:r>
      <w:proofErr w:type="spellStart"/>
      <w:r w:rsidRPr="00D55ECC">
        <w:rPr>
          <w:rFonts w:ascii="Arial" w:hAnsi="Arial" w:cs="Arial"/>
          <w:sz w:val="20"/>
          <w:szCs w:val="20"/>
        </w:rPr>
        <w:t>University</w:t>
      </w:r>
      <w:proofErr w:type="spellEnd"/>
      <w:r w:rsidRPr="00D55ECC">
        <w:rPr>
          <w:rFonts w:ascii="Arial" w:hAnsi="Arial" w:cs="Arial"/>
          <w:sz w:val="20"/>
          <w:szCs w:val="20"/>
        </w:rPr>
        <w:t xml:space="preserve"> Center - UNIALFA</w:t>
      </w:r>
    </w:p>
    <w:p w14:paraId="34E4C627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Fonts w:ascii="Arial" w:hAnsi="Arial" w:cs="Arial"/>
          <w:sz w:val="20"/>
          <w:szCs w:val="20"/>
        </w:rPr>
        <w:t>Email: ralfmelo@hotmail.com</w:t>
      </w:r>
    </w:p>
    <w:p w14:paraId="4792A33B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Fonts w:ascii="Arial" w:hAnsi="Arial" w:cs="Arial"/>
          <w:sz w:val="20"/>
          <w:szCs w:val="20"/>
        </w:rPr>
        <w:t>ORCID: http://lattes.cnpq.br/7792636174253305</w:t>
      </w:r>
    </w:p>
    <w:p w14:paraId="48DEA08F" w14:textId="33F9E7A4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Fonts w:ascii="Arial" w:hAnsi="Arial" w:cs="Arial"/>
          <w:sz w:val="20"/>
          <w:szCs w:val="20"/>
        </w:rPr>
        <w:t>SLATS: http://lattes.cnpq.br/7792636174253305</w:t>
      </w:r>
    </w:p>
  </w:footnote>
  <w:footnote w:id="2">
    <w:p w14:paraId="06E02400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Style w:val="Refdenotaderodap"/>
          <w:sz w:val="20"/>
          <w:szCs w:val="20"/>
        </w:rPr>
        <w:footnoteRef/>
      </w:r>
      <w:r w:rsidRPr="00D55ECC">
        <w:rPr>
          <w:sz w:val="20"/>
          <w:szCs w:val="20"/>
        </w:rPr>
        <w:t xml:space="preserve"> </w:t>
      </w:r>
      <w:r w:rsidRPr="00D55ECC">
        <w:rPr>
          <w:rFonts w:ascii="Arial" w:hAnsi="Arial" w:cs="Arial"/>
          <w:sz w:val="20"/>
          <w:szCs w:val="20"/>
        </w:rPr>
        <w:t xml:space="preserve">Alves Faria </w:t>
      </w:r>
      <w:proofErr w:type="spellStart"/>
      <w:r w:rsidRPr="00D55ECC">
        <w:rPr>
          <w:rFonts w:ascii="Arial" w:hAnsi="Arial" w:cs="Arial"/>
          <w:sz w:val="20"/>
          <w:szCs w:val="20"/>
        </w:rPr>
        <w:t>University</w:t>
      </w:r>
      <w:proofErr w:type="spellEnd"/>
      <w:r w:rsidRPr="00D55ECC">
        <w:rPr>
          <w:rFonts w:ascii="Arial" w:hAnsi="Arial" w:cs="Arial"/>
          <w:sz w:val="20"/>
          <w:szCs w:val="20"/>
        </w:rPr>
        <w:t xml:space="preserve"> Center – UNIALFA</w:t>
      </w:r>
    </w:p>
    <w:p w14:paraId="5FD1D496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Fonts w:ascii="Arial" w:hAnsi="Arial" w:cs="Arial"/>
          <w:sz w:val="20"/>
          <w:szCs w:val="20"/>
        </w:rPr>
        <w:t>E-mail: adriano.pila@unialfa.com.br</w:t>
      </w:r>
    </w:p>
    <w:p w14:paraId="0FD56E5D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Fonts w:ascii="Arial" w:hAnsi="Arial" w:cs="Arial"/>
          <w:sz w:val="20"/>
          <w:szCs w:val="20"/>
        </w:rPr>
        <w:t>ORCID: https://orcid.org/0000-0002-1896-1745</w:t>
      </w:r>
    </w:p>
    <w:p w14:paraId="09F7A088" w14:textId="77777777" w:rsidR="00D55ECC" w:rsidRPr="00D55ECC" w:rsidRDefault="00D55ECC" w:rsidP="00D55E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5ECC">
        <w:rPr>
          <w:rFonts w:ascii="Arial" w:hAnsi="Arial" w:cs="Arial"/>
          <w:sz w:val="20"/>
          <w:szCs w:val="20"/>
        </w:rPr>
        <w:t>SLATS: http://lattes.cnpq.br/5161428681683629</w:t>
      </w:r>
    </w:p>
    <w:p w14:paraId="577F0DE8" w14:textId="7BD64477" w:rsidR="00D55ECC" w:rsidRDefault="00D55EC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673A" w14:textId="2CD5D4EC" w:rsidR="00D05562" w:rsidRDefault="00D05562">
    <w:pPr>
      <w:pStyle w:val="Cabealho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DC0E0D5" wp14:editId="2BF9F8A8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0498"/>
          <wp:effectExtent l="0" t="0" r="0" b="6985"/>
          <wp:wrapNone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0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7C05" w14:textId="5668C75C" w:rsidR="001A37E1" w:rsidRDefault="001A37E1">
    <w:pPr>
      <w:pStyle w:val="Cabealh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CB4F083" wp14:editId="2446E443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48533" cy="10677523"/>
          <wp:effectExtent l="0" t="0" r="0" b="0"/>
          <wp:wrapNone/>
          <wp:docPr id="6" name="Imagem 6" descr="Shape, Square&#10;&#10;Automatic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79303" name="Imagem 2" descr="Forma, Quadr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3" cy="106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1FC"/>
    <w:multiLevelType w:val="multilevel"/>
    <w:tmpl w:val="DC566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B15310"/>
    <w:multiLevelType w:val="multilevel"/>
    <w:tmpl w:val="823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54374"/>
    <w:multiLevelType w:val="hybridMultilevel"/>
    <w:tmpl w:val="E930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772EB"/>
    <w:multiLevelType w:val="hybridMultilevel"/>
    <w:tmpl w:val="081EEB0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7650CE"/>
    <w:multiLevelType w:val="hybridMultilevel"/>
    <w:tmpl w:val="2F5EA5C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916DD"/>
    <w:multiLevelType w:val="multilevel"/>
    <w:tmpl w:val="13D65510"/>
    <w:lvl w:ilvl="0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7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8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5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127E2703"/>
    <w:multiLevelType w:val="hybridMultilevel"/>
    <w:tmpl w:val="BCA23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79F1"/>
    <w:multiLevelType w:val="hybridMultilevel"/>
    <w:tmpl w:val="E50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62578"/>
    <w:multiLevelType w:val="hybridMultilevel"/>
    <w:tmpl w:val="F220426C"/>
    <w:lvl w:ilvl="0" w:tplc="F618B4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617BE"/>
    <w:multiLevelType w:val="hybridMultilevel"/>
    <w:tmpl w:val="1CAAF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43EE2"/>
    <w:multiLevelType w:val="multilevel"/>
    <w:tmpl w:val="643C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E1503"/>
    <w:multiLevelType w:val="hybridMultilevel"/>
    <w:tmpl w:val="6FE2C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F492B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D5D21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F1F1F"/>
    <w:multiLevelType w:val="multilevel"/>
    <w:tmpl w:val="821E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01085"/>
    <w:multiLevelType w:val="hybridMultilevel"/>
    <w:tmpl w:val="F50EB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17014"/>
    <w:multiLevelType w:val="hybridMultilevel"/>
    <w:tmpl w:val="03FA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43E2"/>
    <w:multiLevelType w:val="hybridMultilevel"/>
    <w:tmpl w:val="5006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E24EA"/>
    <w:multiLevelType w:val="multilevel"/>
    <w:tmpl w:val="CB6C9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192C53"/>
    <w:multiLevelType w:val="hybridMultilevel"/>
    <w:tmpl w:val="CCF8D154"/>
    <w:lvl w:ilvl="0" w:tplc="54E2E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3773F"/>
    <w:multiLevelType w:val="hybridMultilevel"/>
    <w:tmpl w:val="0C16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F6E82"/>
    <w:multiLevelType w:val="multilevel"/>
    <w:tmpl w:val="F2706D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F78F8"/>
    <w:multiLevelType w:val="hybridMultilevel"/>
    <w:tmpl w:val="B7EE94CA"/>
    <w:lvl w:ilvl="0" w:tplc="54E2E05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B195D"/>
    <w:multiLevelType w:val="hybridMultilevel"/>
    <w:tmpl w:val="2BEC8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97377"/>
    <w:multiLevelType w:val="hybridMultilevel"/>
    <w:tmpl w:val="55A63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45462"/>
    <w:multiLevelType w:val="multilevel"/>
    <w:tmpl w:val="DFAC4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B64145"/>
    <w:multiLevelType w:val="multilevel"/>
    <w:tmpl w:val="5EF40A8C"/>
    <w:lvl w:ilvl="0">
      <w:start w:val="1"/>
      <w:numFmt w:val="bullet"/>
      <w:lvlText w:val=""/>
      <w:lvlJc w:val="left"/>
      <w:pPr>
        <w:tabs>
          <w:tab w:val="num" w:pos="0"/>
        </w:tabs>
        <w:ind w:left="7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7" w:hanging="360"/>
      </w:pPr>
      <w:rPr>
        <w:rFonts w:ascii="Wingdings" w:hAnsi="Wingdings" w:cs="Wingdings" w:hint="default"/>
      </w:rPr>
    </w:lvl>
  </w:abstractNum>
  <w:num w:numId="1" w16cid:durableId="1358656865">
    <w:abstractNumId w:val="1"/>
  </w:num>
  <w:num w:numId="2" w16cid:durableId="1801460549">
    <w:abstractNumId w:val="4"/>
  </w:num>
  <w:num w:numId="3" w16cid:durableId="1056049638">
    <w:abstractNumId w:val="0"/>
  </w:num>
  <w:num w:numId="4" w16cid:durableId="971639738">
    <w:abstractNumId w:val="8"/>
  </w:num>
  <w:num w:numId="5" w16cid:durableId="1298145340">
    <w:abstractNumId w:val="18"/>
  </w:num>
  <w:num w:numId="6" w16cid:durableId="253320963">
    <w:abstractNumId w:val="26"/>
  </w:num>
  <w:num w:numId="7" w16cid:durableId="1301375748">
    <w:abstractNumId w:val="10"/>
  </w:num>
  <w:num w:numId="8" w16cid:durableId="1922371880">
    <w:abstractNumId w:val="17"/>
  </w:num>
  <w:num w:numId="9" w16cid:durableId="370695495">
    <w:abstractNumId w:val="16"/>
  </w:num>
  <w:num w:numId="10" w16cid:durableId="966274777">
    <w:abstractNumId w:val="7"/>
  </w:num>
  <w:num w:numId="11" w16cid:durableId="437680994">
    <w:abstractNumId w:val="2"/>
  </w:num>
  <w:num w:numId="12" w16cid:durableId="951598020">
    <w:abstractNumId w:val="11"/>
  </w:num>
  <w:num w:numId="13" w16cid:durableId="1079981736">
    <w:abstractNumId w:val="6"/>
  </w:num>
  <w:num w:numId="14" w16cid:durableId="458450966">
    <w:abstractNumId w:val="21"/>
  </w:num>
  <w:num w:numId="15" w16cid:durableId="2123529532">
    <w:abstractNumId w:val="15"/>
  </w:num>
  <w:num w:numId="16" w16cid:durableId="1767312073">
    <w:abstractNumId w:val="22"/>
  </w:num>
  <w:num w:numId="17" w16cid:durableId="2013070911">
    <w:abstractNumId w:val="20"/>
  </w:num>
  <w:num w:numId="18" w16cid:durableId="368529386">
    <w:abstractNumId w:val="24"/>
  </w:num>
  <w:num w:numId="19" w16cid:durableId="756709894">
    <w:abstractNumId w:val="19"/>
  </w:num>
  <w:num w:numId="20" w16cid:durableId="666982647">
    <w:abstractNumId w:val="23"/>
  </w:num>
  <w:num w:numId="21" w16cid:durableId="477459478">
    <w:abstractNumId w:val="9"/>
  </w:num>
  <w:num w:numId="22" w16cid:durableId="199439797">
    <w:abstractNumId w:val="13"/>
  </w:num>
  <w:num w:numId="23" w16cid:durableId="1620717320">
    <w:abstractNumId w:val="12"/>
  </w:num>
  <w:num w:numId="24" w16cid:durableId="539588089">
    <w:abstractNumId w:val="14"/>
  </w:num>
  <w:num w:numId="25" w16cid:durableId="374669647">
    <w:abstractNumId w:val="3"/>
  </w:num>
  <w:num w:numId="26" w16cid:durableId="1761245579">
    <w:abstractNumId w:val="5"/>
  </w:num>
  <w:num w:numId="27" w16cid:durableId="892786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76"/>
    <w:rsid w:val="00003167"/>
    <w:rsid w:val="00010CDF"/>
    <w:rsid w:val="00014325"/>
    <w:rsid w:val="00031C6D"/>
    <w:rsid w:val="00033EF9"/>
    <w:rsid w:val="0003415A"/>
    <w:rsid w:val="00042064"/>
    <w:rsid w:val="00056B31"/>
    <w:rsid w:val="00083C5A"/>
    <w:rsid w:val="00086436"/>
    <w:rsid w:val="000876F5"/>
    <w:rsid w:val="000A0B9E"/>
    <w:rsid w:val="000A6306"/>
    <w:rsid w:val="000B551B"/>
    <w:rsid w:val="000C7861"/>
    <w:rsid w:val="000D1454"/>
    <w:rsid w:val="000D3A33"/>
    <w:rsid w:val="000E433E"/>
    <w:rsid w:val="000F0FF2"/>
    <w:rsid w:val="000F39BB"/>
    <w:rsid w:val="00113DB7"/>
    <w:rsid w:val="00114785"/>
    <w:rsid w:val="00117A56"/>
    <w:rsid w:val="0012615D"/>
    <w:rsid w:val="00126BE3"/>
    <w:rsid w:val="00155640"/>
    <w:rsid w:val="00162EAA"/>
    <w:rsid w:val="001702F5"/>
    <w:rsid w:val="00190492"/>
    <w:rsid w:val="001A37E1"/>
    <w:rsid w:val="001E7965"/>
    <w:rsid w:val="00206A51"/>
    <w:rsid w:val="00231436"/>
    <w:rsid w:val="00253A18"/>
    <w:rsid w:val="00255BF3"/>
    <w:rsid w:val="00261C33"/>
    <w:rsid w:val="00263842"/>
    <w:rsid w:val="00264C2F"/>
    <w:rsid w:val="00272349"/>
    <w:rsid w:val="002840E5"/>
    <w:rsid w:val="00295154"/>
    <w:rsid w:val="002A509B"/>
    <w:rsid w:val="002A58EB"/>
    <w:rsid w:val="002C0130"/>
    <w:rsid w:val="002C64B5"/>
    <w:rsid w:val="002C76F7"/>
    <w:rsid w:val="002E723C"/>
    <w:rsid w:val="002E7984"/>
    <w:rsid w:val="00312F8E"/>
    <w:rsid w:val="0034770E"/>
    <w:rsid w:val="003722A4"/>
    <w:rsid w:val="00384C44"/>
    <w:rsid w:val="00385F95"/>
    <w:rsid w:val="00386AB9"/>
    <w:rsid w:val="003A467B"/>
    <w:rsid w:val="003B152A"/>
    <w:rsid w:val="003C15E2"/>
    <w:rsid w:val="003E037A"/>
    <w:rsid w:val="00400360"/>
    <w:rsid w:val="00406ED6"/>
    <w:rsid w:val="004A6451"/>
    <w:rsid w:val="004C0E4F"/>
    <w:rsid w:val="004C1204"/>
    <w:rsid w:val="004C206D"/>
    <w:rsid w:val="004D1CF4"/>
    <w:rsid w:val="00500EEA"/>
    <w:rsid w:val="005238A1"/>
    <w:rsid w:val="00543EAE"/>
    <w:rsid w:val="00562470"/>
    <w:rsid w:val="00571A8F"/>
    <w:rsid w:val="00587E3E"/>
    <w:rsid w:val="00595E61"/>
    <w:rsid w:val="005A1E8A"/>
    <w:rsid w:val="005B6393"/>
    <w:rsid w:val="005C2370"/>
    <w:rsid w:val="005F1032"/>
    <w:rsid w:val="00600C27"/>
    <w:rsid w:val="00601B89"/>
    <w:rsid w:val="006148A9"/>
    <w:rsid w:val="00630F53"/>
    <w:rsid w:val="00631117"/>
    <w:rsid w:val="006441D7"/>
    <w:rsid w:val="00644D72"/>
    <w:rsid w:val="00667C85"/>
    <w:rsid w:val="00670FA2"/>
    <w:rsid w:val="00671FC0"/>
    <w:rsid w:val="00674E6C"/>
    <w:rsid w:val="006901AC"/>
    <w:rsid w:val="00696ADC"/>
    <w:rsid w:val="00696BBD"/>
    <w:rsid w:val="006A7DAE"/>
    <w:rsid w:val="006B264A"/>
    <w:rsid w:val="006C1644"/>
    <w:rsid w:val="006D2522"/>
    <w:rsid w:val="006D25FF"/>
    <w:rsid w:val="006E03F1"/>
    <w:rsid w:val="00710EDF"/>
    <w:rsid w:val="00715D5A"/>
    <w:rsid w:val="00716C89"/>
    <w:rsid w:val="007407DA"/>
    <w:rsid w:val="00761B1A"/>
    <w:rsid w:val="00774136"/>
    <w:rsid w:val="00775E60"/>
    <w:rsid w:val="007A11DE"/>
    <w:rsid w:val="007A3269"/>
    <w:rsid w:val="007A477A"/>
    <w:rsid w:val="007C532E"/>
    <w:rsid w:val="00820FE7"/>
    <w:rsid w:val="00834297"/>
    <w:rsid w:val="0083571F"/>
    <w:rsid w:val="008535AB"/>
    <w:rsid w:val="00877184"/>
    <w:rsid w:val="0089223B"/>
    <w:rsid w:val="008949FB"/>
    <w:rsid w:val="008972CA"/>
    <w:rsid w:val="008C1212"/>
    <w:rsid w:val="008D09BF"/>
    <w:rsid w:val="008D4C3D"/>
    <w:rsid w:val="008E5138"/>
    <w:rsid w:val="008E5AA1"/>
    <w:rsid w:val="00917013"/>
    <w:rsid w:val="00922E4F"/>
    <w:rsid w:val="00936553"/>
    <w:rsid w:val="0094640C"/>
    <w:rsid w:val="00976BE4"/>
    <w:rsid w:val="009838EB"/>
    <w:rsid w:val="00983F82"/>
    <w:rsid w:val="009967EE"/>
    <w:rsid w:val="00997382"/>
    <w:rsid w:val="009B5282"/>
    <w:rsid w:val="009C1BFD"/>
    <w:rsid w:val="009F4415"/>
    <w:rsid w:val="009F64C7"/>
    <w:rsid w:val="00A008C3"/>
    <w:rsid w:val="00A21120"/>
    <w:rsid w:val="00A24CFA"/>
    <w:rsid w:val="00A56F8C"/>
    <w:rsid w:val="00A63492"/>
    <w:rsid w:val="00A84DB3"/>
    <w:rsid w:val="00A93E34"/>
    <w:rsid w:val="00AA232A"/>
    <w:rsid w:val="00AB2864"/>
    <w:rsid w:val="00AD31DF"/>
    <w:rsid w:val="00AE201E"/>
    <w:rsid w:val="00AF13C0"/>
    <w:rsid w:val="00AF54CC"/>
    <w:rsid w:val="00AF75CD"/>
    <w:rsid w:val="00B01CBF"/>
    <w:rsid w:val="00B02891"/>
    <w:rsid w:val="00B119ED"/>
    <w:rsid w:val="00B23E45"/>
    <w:rsid w:val="00B255B9"/>
    <w:rsid w:val="00B27432"/>
    <w:rsid w:val="00B3385A"/>
    <w:rsid w:val="00B51742"/>
    <w:rsid w:val="00B644E0"/>
    <w:rsid w:val="00B64526"/>
    <w:rsid w:val="00B760AE"/>
    <w:rsid w:val="00B76737"/>
    <w:rsid w:val="00B820F1"/>
    <w:rsid w:val="00B84D89"/>
    <w:rsid w:val="00B84E00"/>
    <w:rsid w:val="00B94FC8"/>
    <w:rsid w:val="00BA2813"/>
    <w:rsid w:val="00BB5BDE"/>
    <w:rsid w:val="00BE6C76"/>
    <w:rsid w:val="00BF62FB"/>
    <w:rsid w:val="00BF6945"/>
    <w:rsid w:val="00C13E9A"/>
    <w:rsid w:val="00C1499A"/>
    <w:rsid w:val="00C16639"/>
    <w:rsid w:val="00C24F9D"/>
    <w:rsid w:val="00C307E3"/>
    <w:rsid w:val="00C30AF2"/>
    <w:rsid w:val="00C36EFC"/>
    <w:rsid w:val="00C45E13"/>
    <w:rsid w:val="00C743FC"/>
    <w:rsid w:val="00C75568"/>
    <w:rsid w:val="00C82F24"/>
    <w:rsid w:val="00C87EF6"/>
    <w:rsid w:val="00C91849"/>
    <w:rsid w:val="00CC4CBD"/>
    <w:rsid w:val="00CC6548"/>
    <w:rsid w:val="00CD0F71"/>
    <w:rsid w:val="00CF3594"/>
    <w:rsid w:val="00CF3DBA"/>
    <w:rsid w:val="00D00C67"/>
    <w:rsid w:val="00D0461C"/>
    <w:rsid w:val="00D05562"/>
    <w:rsid w:val="00D344A9"/>
    <w:rsid w:val="00D532B0"/>
    <w:rsid w:val="00D55ECC"/>
    <w:rsid w:val="00D64B4F"/>
    <w:rsid w:val="00D866B4"/>
    <w:rsid w:val="00D90E64"/>
    <w:rsid w:val="00D970C9"/>
    <w:rsid w:val="00DB5825"/>
    <w:rsid w:val="00DF37F1"/>
    <w:rsid w:val="00DF57E5"/>
    <w:rsid w:val="00DF67C0"/>
    <w:rsid w:val="00E24D8D"/>
    <w:rsid w:val="00E3188D"/>
    <w:rsid w:val="00E55919"/>
    <w:rsid w:val="00E563F8"/>
    <w:rsid w:val="00E603CC"/>
    <w:rsid w:val="00E66ED8"/>
    <w:rsid w:val="00E70399"/>
    <w:rsid w:val="00E706AF"/>
    <w:rsid w:val="00E80755"/>
    <w:rsid w:val="00E8232D"/>
    <w:rsid w:val="00EB471F"/>
    <w:rsid w:val="00EB5AB5"/>
    <w:rsid w:val="00EE5DB4"/>
    <w:rsid w:val="00EF7BFF"/>
    <w:rsid w:val="00F33A62"/>
    <w:rsid w:val="00F37A0B"/>
    <w:rsid w:val="00F44FD6"/>
    <w:rsid w:val="00F67D31"/>
    <w:rsid w:val="00F9544B"/>
    <w:rsid w:val="00FA01F2"/>
    <w:rsid w:val="00FA4EBB"/>
    <w:rsid w:val="00FC06AF"/>
    <w:rsid w:val="00FC6697"/>
    <w:rsid w:val="00FC6A6C"/>
    <w:rsid w:val="00FD0701"/>
    <w:rsid w:val="00FD270D"/>
    <w:rsid w:val="00FE20D2"/>
    <w:rsid w:val="00FE493F"/>
    <w:rsid w:val="00FE52DA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BE863"/>
  <w15:chartTrackingRefBased/>
  <w15:docId w15:val="{894E79BC-C17A-429B-81AA-B07494B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18"/>
  </w:style>
  <w:style w:type="paragraph" w:styleId="Ttulo1">
    <w:name w:val="heading 1"/>
    <w:basedOn w:val="Normal"/>
    <w:next w:val="Normal"/>
    <w:link w:val="Ttulo1Char"/>
    <w:uiPriority w:val="9"/>
    <w:qFormat/>
    <w:rsid w:val="008949FB"/>
    <w:pPr>
      <w:keepNext/>
      <w:keepLines/>
      <w:spacing w:before="240" w:after="0" w:line="30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B27432"/>
    <w:pPr>
      <w:keepNext/>
      <w:keepLines/>
      <w:spacing w:before="40" w:after="0" w:line="360" w:lineRule="auto"/>
      <w:ind w:left="864" w:hanging="864"/>
      <w:jc w:val="both"/>
      <w:outlineLvl w:val="3"/>
    </w:pPr>
    <w:rPr>
      <w:rFonts w:ascii="Calibri Light" w:eastAsia="Times New Roman" w:hAnsi="Calibri Light" w:cs="Times New Roman"/>
      <w:color w:val="2E74B5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qFormat/>
    <w:rsid w:val="00B27432"/>
    <w:pPr>
      <w:keepNext/>
      <w:keepLines/>
      <w:spacing w:before="40" w:after="0" w:line="360" w:lineRule="auto"/>
      <w:ind w:left="1008" w:hanging="1008"/>
      <w:jc w:val="both"/>
      <w:outlineLvl w:val="4"/>
    </w:pPr>
    <w:rPr>
      <w:rFonts w:ascii="Calibri Light" w:eastAsia="Times New Roman" w:hAnsi="Calibri Light" w:cs="Times New Roman"/>
      <w:caps/>
      <w:color w:val="2E74B5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qFormat/>
    <w:rsid w:val="00B27432"/>
    <w:pPr>
      <w:keepNext/>
      <w:keepLines/>
      <w:spacing w:before="40" w:after="0" w:line="360" w:lineRule="auto"/>
      <w:ind w:left="1152" w:hanging="1152"/>
      <w:jc w:val="both"/>
      <w:outlineLvl w:val="5"/>
    </w:pPr>
    <w:rPr>
      <w:rFonts w:ascii="Calibri Light" w:eastAsia="Times New Roman" w:hAnsi="Calibri Light" w:cs="Times New Roman"/>
      <w:i/>
      <w:iCs/>
      <w:caps/>
      <w:color w:val="1F4E79"/>
      <w:kern w:val="0"/>
      <w:lang w:eastAsia="pt-BR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B27432"/>
    <w:pPr>
      <w:keepNext/>
      <w:keepLines/>
      <w:spacing w:before="40" w:after="0" w:line="360" w:lineRule="auto"/>
      <w:ind w:left="1296" w:hanging="1296"/>
      <w:jc w:val="both"/>
      <w:outlineLvl w:val="6"/>
    </w:pPr>
    <w:rPr>
      <w:rFonts w:ascii="Calibri Light" w:eastAsia="Times New Roman" w:hAnsi="Calibri Light" w:cs="Times New Roman"/>
      <w:b/>
      <w:bCs/>
      <w:color w:val="1F4E79"/>
      <w:kern w:val="0"/>
      <w:lang w:eastAsia="pt-BR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B27432"/>
    <w:pPr>
      <w:keepNext/>
      <w:keepLines/>
      <w:spacing w:before="40" w:after="0" w:line="360" w:lineRule="auto"/>
      <w:ind w:left="1440" w:hanging="1440"/>
      <w:jc w:val="both"/>
      <w:outlineLvl w:val="7"/>
    </w:pPr>
    <w:rPr>
      <w:rFonts w:ascii="Calibri Light" w:eastAsia="Times New Roman" w:hAnsi="Calibri Light" w:cs="Times New Roman"/>
      <w:b/>
      <w:bCs/>
      <w:i/>
      <w:iCs/>
      <w:color w:val="1F4E79"/>
      <w:kern w:val="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B27432"/>
    <w:pPr>
      <w:keepNext/>
      <w:keepLines/>
      <w:spacing w:before="40" w:after="0" w:line="360" w:lineRule="auto"/>
      <w:ind w:left="1584" w:hanging="1584"/>
      <w:jc w:val="both"/>
      <w:outlineLvl w:val="8"/>
    </w:pPr>
    <w:rPr>
      <w:rFonts w:ascii="Calibri Light" w:eastAsia="Times New Roman" w:hAnsi="Calibri Light" w:cs="Times New Roman"/>
      <w:i/>
      <w:iCs/>
      <w:color w:val="1F4E79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C76"/>
  </w:style>
  <w:style w:type="paragraph" w:styleId="Rodap">
    <w:name w:val="footer"/>
    <w:basedOn w:val="Normal"/>
    <w:link w:val="RodapChar"/>
    <w:uiPriority w:val="99"/>
    <w:unhideWhenUsed/>
    <w:rsid w:val="00BE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C76"/>
  </w:style>
  <w:style w:type="table" w:styleId="Tabelacomgrade">
    <w:name w:val="Table Grid"/>
    <w:basedOn w:val="Tabelanormal"/>
    <w:uiPriority w:val="39"/>
    <w:rsid w:val="00BE6C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BE6C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B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viso">
    <w:name w:val="Revision"/>
    <w:hidden/>
    <w:uiPriority w:val="99"/>
    <w:semiHidden/>
    <w:rsid w:val="002C64B5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5D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5DB4"/>
    <w:rPr>
      <w:rFonts w:eastAsiaTheme="minorEastAsia"/>
      <w:color w:val="5A5A5A" w:themeColor="text1" w:themeTint="A5"/>
      <w:spacing w:val="15"/>
    </w:rPr>
  </w:style>
  <w:style w:type="paragraph" w:customStyle="1" w:styleId="TableParagraph">
    <w:name w:val="Table Paragraph"/>
    <w:basedOn w:val="Normal"/>
    <w:uiPriority w:val="1"/>
    <w:qFormat/>
    <w:rsid w:val="001A37E1"/>
    <w:pPr>
      <w:suppressAutoHyphens/>
      <w:overflowPunct w:val="0"/>
      <w:spacing w:after="0" w:line="240" w:lineRule="auto"/>
      <w:ind w:left="100"/>
    </w:pPr>
    <w:rPr>
      <w:rFonts w:ascii="Arial MT" w:eastAsia="Arial MT" w:hAnsi="Arial MT" w:cs="Arial MT"/>
      <w:color w:val="000000"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949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Forte">
    <w:name w:val="Strong"/>
    <w:basedOn w:val="Fontepargpadro"/>
    <w:uiPriority w:val="22"/>
    <w:qFormat/>
    <w:rsid w:val="008949FB"/>
    <w:rPr>
      <w:b/>
      <w:bCs/>
    </w:rPr>
  </w:style>
  <w:style w:type="table" w:styleId="TabelaSimples5">
    <w:name w:val="Plain Table 5"/>
    <w:basedOn w:val="Tabelanormal"/>
    <w:uiPriority w:val="45"/>
    <w:rsid w:val="008949FB"/>
    <w:pPr>
      <w:spacing w:after="0" w:line="240" w:lineRule="auto"/>
      <w:ind w:firstLine="709"/>
      <w:jc w:val="both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ef">
    <w:name w:val="ref"/>
    <w:basedOn w:val="Fontepargpadro"/>
    <w:rsid w:val="008949FB"/>
  </w:style>
  <w:style w:type="table" w:styleId="TabelaSimples4">
    <w:name w:val="Plain Table 4"/>
    <w:basedOn w:val="Tabelanormal"/>
    <w:uiPriority w:val="44"/>
    <w:rsid w:val="008949FB"/>
    <w:pPr>
      <w:spacing w:after="0" w:line="240" w:lineRule="auto"/>
      <w:ind w:firstLine="709"/>
      <w:jc w:val="both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08C3"/>
    <w:rPr>
      <w:color w:val="605E5C"/>
      <w:shd w:val="clear" w:color="auto" w:fill="E1DFDD"/>
    </w:rPr>
  </w:style>
  <w:style w:type="character" w:customStyle="1" w:styleId="fontstyle01">
    <w:name w:val="fontstyle01"/>
    <w:rsid w:val="003477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34770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34770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34770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477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bidi="si-LK"/>
      <w14:ligatures w14:val="none"/>
    </w:rPr>
  </w:style>
  <w:style w:type="character" w:styleId="nfase">
    <w:name w:val="Emphasis"/>
    <w:basedOn w:val="Fontepargpadro"/>
    <w:uiPriority w:val="20"/>
    <w:qFormat/>
    <w:rsid w:val="00295154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7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27432"/>
    <w:rPr>
      <w:rFonts w:ascii="Calibri Light" w:eastAsia="Times New Roman" w:hAnsi="Calibri Light" w:cs="Times New Roman"/>
      <w:color w:val="2E74B5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B27432"/>
    <w:rPr>
      <w:rFonts w:ascii="Calibri Light" w:eastAsia="Times New Roman" w:hAnsi="Calibri Light" w:cs="Times New Roman"/>
      <w:caps/>
      <w:color w:val="2E74B5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B27432"/>
    <w:rPr>
      <w:rFonts w:ascii="Calibri Light" w:eastAsia="Times New Roman" w:hAnsi="Calibri Light" w:cs="Times New Roman"/>
      <w:i/>
      <w:iCs/>
      <w:caps/>
      <w:color w:val="1F4E79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7432"/>
    <w:rPr>
      <w:rFonts w:ascii="Calibri Light" w:eastAsia="Times New Roman" w:hAnsi="Calibri Light" w:cs="Times New Roman"/>
      <w:b/>
      <w:bCs/>
      <w:color w:val="1F4E79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7432"/>
    <w:rPr>
      <w:rFonts w:ascii="Calibri Light" w:eastAsia="Times New Roman" w:hAnsi="Calibri Light" w:cs="Times New Roman"/>
      <w:b/>
      <w:bCs/>
      <w:i/>
      <w:iCs/>
      <w:color w:val="1F4E79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7432"/>
    <w:rPr>
      <w:rFonts w:ascii="Calibri Light" w:eastAsia="Times New Roman" w:hAnsi="Calibri Light" w:cs="Times New Roman"/>
      <w:i/>
      <w:iCs/>
      <w:color w:val="1F4E79"/>
      <w:kern w:val="0"/>
      <w:lang w:eastAsia="pt-BR"/>
      <w14:ligatures w14:val="none"/>
    </w:rPr>
  </w:style>
  <w:style w:type="paragraph" w:styleId="Corpodetexto">
    <w:name w:val="Body Text"/>
    <w:aliases w:val="titulo 3"/>
    <w:basedOn w:val="PargrafodaLista"/>
    <w:link w:val="CorpodetextoChar"/>
    <w:uiPriority w:val="1"/>
    <w:qFormat/>
    <w:rsid w:val="00B27432"/>
    <w:pPr>
      <w:spacing w:before="320" w:after="320" w:line="360" w:lineRule="auto"/>
      <w:ind w:left="2138" w:hanging="720"/>
      <w:jc w:val="both"/>
    </w:pPr>
    <w:rPr>
      <w:rFonts w:ascii="Arial" w:eastAsia="Times New Roman" w:hAnsi="Arial"/>
      <w:sz w:val="24"/>
      <w:lang w:eastAsia="pt-BR"/>
    </w:rPr>
  </w:style>
  <w:style w:type="character" w:customStyle="1" w:styleId="CorpodetextoChar">
    <w:name w:val="Corpo de texto Char"/>
    <w:aliases w:val="titulo 3 Char"/>
    <w:basedOn w:val="Fontepargpadro"/>
    <w:link w:val="Corpodetexto"/>
    <w:uiPriority w:val="1"/>
    <w:rsid w:val="00B27432"/>
    <w:rPr>
      <w:rFonts w:ascii="Arial" w:eastAsia="Times New Roman" w:hAnsi="Arial" w:cs="Times New Roman"/>
      <w:kern w:val="0"/>
      <w:sz w:val="24"/>
      <w:lang w:eastAsia="pt-BR"/>
      <w14:ligatures w14:val="none"/>
    </w:rPr>
  </w:style>
  <w:style w:type="character" w:customStyle="1" w:styleId="Hyperlink1">
    <w:name w:val="Hyperlink1"/>
    <w:basedOn w:val="Fontepargpadro"/>
    <w:rsid w:val="00DF67C0"/>
    <w:rPr>
      <w:color w:val="0000FF"/>
      <w:u w:val="single"/>
    </w:rPr>
  </w:style>
  <w:style w:type="paragraph" w:styleId="SemEspaamento">
    <w:name w:val="No Spacing"/>
    <w:uiPriority w:val="1"/>
    <w:qFormat/>
    <w:rsid w:val="00DF67C0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tuloCentralizadoResumo">
    <w:name w:val="Título Centralizado Resumo"/>
    <w:basedOn w:val="Normal"/>
    <w:qFormat/>
    <w:rsid w:val="009838EB"/>
    <w:pPr>
      <w:suppressAutoHyphens/>
      <w:spacing w:before="240" w:after="0" w:line="480" w:lineRule="auto"/>
      <w:jc w:val="center"/>
    </w:pPr>
    <w:rPr>
      <w:rFonts w:ascii="Times New Roman" w:hAnsi="Times New Roman" w:cs="Times New Roman"/>
      <w:b/>
      <w:kern w:val="0"/>
      <w:sz w:val="28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C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44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44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4415"/>
    <w:rPr>
      <w:vertAlign w:val="superscript"/>
    </w:rPr>
  </w:style>
  <w:style w:type="character" w:customStyle="1" w:styleId="PargrafodaListaChar">
    <w:name w:val="Parágrafo da Lista Char"/>
    <w:link w:val="PargrafodaLista"/>
    <w:rsid w:val="00EB471F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53A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C1B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6238/arev7n1-11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516C-966E-44BD-A365-C28F4F43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4038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Ferreira de Moraes</dc:creator>
  <cp:keywords/>
  <dc:description/>
  <cp:lastModifiedBy>Karla De Oliveira Jacques</cp:lastModifiedBy>
  <cp:revision>3</cp:revision>
  <cp:lastPrinted>2025-02-07T23:21:00Z</cp:lastPrinted>
  <dcterms:created xsi:type="dcterms:W3CDTF">2025-02-07T23:21:00Z</dcterms:created>
  <dcterms:modified xsi:type="dcterms:W3CDTF">2025-02-07T23:22:00Z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42b5a1a48785752a7e5136c9ff0f55b02bd3b3d4e23552d46d91f545eca0f389</vt:lpwstr>
  </property>
</Properties>
</file>